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FA" w:rsidRDefault="00690DFA" w:rsidP="00690DFA">
      <w:pPr>
        <w:jc w:val="both"/>
      </w:pPr>
      <w:r>
        <w:rPr>
          <w:noProof/>
          <w:lang w:eastAsia="fr-F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-18415</wp:posOffset>
            </wp:positionV>
            <wp:extent cx="2375535" cy="1041400"/>
            <wp:effectExtent l="0" t="0" r="0" b="0"/>
            <wp:wrapTopAndBottom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041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DFA" w:rsidRDefault="00335453" w:rsidP="00690DFA">
      <w:pPr>
        <w:jc w:val="both"/>
        <w:rPr>
          <w:sz w:val="20"/>
          <w:szCs w:val="20"/>
        </w:rPr>
      </w:pPr>
      <w:r>
        <w:rPr>
          <w:rFonts w:ascii="DejaVu Serif Condensed" w:hAnsi="DejaVu Serif Condensed" w:cstheme="minorHAnsi"/>
          <w:noProof/>
          <w:color w:val="988F8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196850</wp:posOffset>
                </wp:positionV>
                <wp:extent cx="27051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48" y="21080"/>
                    <wp:lineTo x="21448" y="0"/>
                    <wp:lineTo x="0" y="0"/>
                  </wp:wrapPolygon>
                </wp:wrapTight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270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379" w:rsidRPr="00F64365" w:rsidRDefault="00C72379" w:rsidP="00F6436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64365">
                              <w:rPr>
                                <w:rFonts w:ascii="DIN Offc Pro Cond Medium" w:hAnsi="DIN Offc Pro Cond Medium"/>
                                <w:b/>
                                <w:color w:val="FFFFFF" w:themeColor="background1"/>
                                <w:spacing w:val="10"/>
                                <w:sz w:val="22"/>
                                <w:szCs w:val="22"/>
                              </w:rPr>
                              <w:t xml:space="preserve">Bibliographie intégrale </w:t>
                            </w:r>
                            <w:r w:rsidRPr="00F64365">
                              <w:rPr>
                                <w:rFonts w:ascii="DIN Offc Pro Cond Medium" w:hAnsi="DIN Offc Pro Cond Medium"/>
                                <w:b/>
                                <w:color w:val="FFFFFF" w:themeColor="background1"/>
                                <w:spacing w:val="10"/>
                                <w:sz w:val="22"/>
                                <w:szCs w:val="22"/>
                              </w:rPr>
                              <w:br/>
                            </w:r>
                            <w:r w:rsidRPr="00F64365">
                              <w:rPr>
                                <w:rFonts w:ascii="DIN Offc Pro Cond Medium" w:hAnsi="DIN Offc Pro Cond Medium"/>
                                <w:color w:val="FFFFFF" w:themeColor="background1"/>
                                <w:spacing w:val="10"/>
                                <w:sz w:val="22"/>
                                <w:szCs w:val="22"/>
                              </w:rPr>
                              <w:t>(hors tribunes dans la presse)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.85pt;margin-top:15.5pt;width:213pt;height: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" fillcolor="black [3213]" stroked="f">
                <v:textbox inset="0,1mm,0,0">
                  <w:txbxContent>
                    <w:p w:rsidR="00C72379" w:rsidRPr="00F64365" w:rsidRDefault="00C72379" w:rsidP="00F6436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22"/>
                          <w:szCs w:val="22"/>
                          <w:lang w:eastAsia="zh-CN"/>
                        </w:rPr>
                      </w:pPr>
                      <w:r w:rsidRPr="00F64365">
                        <w:rPr>
                          <w:rFonts w:ascii="DIN Offc Pro Cond Medium" w:hAnsi="DIN Offc Pro Cond Medium"/>
                          <w:b/>
                          <w:color w:val="FFFFFF" w:themeColor="background1"/>
                          <w:spacing w:val="10"/>
                          <w:sz w:val="22"/>
                          <w:szCs w:val="22"/>
                        </w:rPr>
                        <w:t xml:space="preserve">Bibliographie intégrale </w:t>
                      </w:r>
                      <w:r w:rsidRPr="00F64365">
                        <w:rPr>
                          <w:rFonts w:ascii="DIN Offc Pro Cond Medium" w:hAnsi="DIN Offc Pro Cond Medium"/>
                          <w:b/>
                          <w:color w:val="FFFFFF" w:themeColor="background1"/>
                          <w:spacing w:val="10"/>
                          <w:sz w:val="22"/>
                          <w:szCs w:val="22"/>
                        </w:rPr>
                        <w:br/>
                      </w:r>
                      <w:r w:rsidRPr="00F64365">
                        <w:rPr>
                          <w:rFonts w:ascii="DIN Offc Pro Cond Medium" w:hAnsi="DIN Offc Pro Cond Medium"/>
                          <w:color w:val="FFFFFF" w:themeColor="background1"/>
                          <w:spacing w:val="10"/>
                          <w:sz w:val="22"/>
                          <w:szCs w:val="22"/>
                        </w:rPr>
                        <w:t>(hors tribunes dans la presse)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556C" w:rsidRDefault="0027556C" w:rsidP="00690DFA">
      <w:pPr>
        <w:sectPr w:rsidR="0027556C" w:rsidSect="002A6F9C">
          <w:pgSz w:w="11906" w:h="16838"/>
          <w:pgMar w:top="680" w:right="567" w:bottom="680" w:left="1134" w:header="0" w:footer="0" w:gutter="0"/>
          <w:cols w:space="708"/>
        </w:sectPr>
      </w:pPr>
    </w:p>
    <w:p w:rsidR="00D333A4" w:rsidRDefault="00D333A4" w:rsidP="0027556C">
      <w:pPr>
        <w:jc w:val="right"/>
      </w:pPr>
    </w:p>
    <w:p w:rsidR="00F64365" w:rsidRDefault="00F64365" w:rsidP="00F26BC1">
      <w:pPr>
        <w:tabs>
          <w:tab w:val="left" w:pos="9708"/>
        </w:tabs>
        <w:spacing w:before="80" w:after="0"/>
        <w:rPr>
          <w:rFonts w:ascii="DejaVu Serif Condensed" w:hAnsi="DejaVu Serif Condensed" w:cstheme="minorHAnsi"/>
          <w:color w:val="988F86"/>
        </w:rPr>
      </w:pPr>
    </w:p>
    <w:p w:rsidR="00F64365" w:rsidRDefault="00F64365" w:rsidP="00F26BC1">
      <w:pPr>
        <w:tabs>
          <w:tab w:val="left" w:pos="9708"/>
        </w:tabs>
        <w:spacing w:before="80" w:after="0"/>
        <w:rPr>
          <w:rFonts w:ascii="DejaVu Serif Condensed" w:hAnsi="DejaVu Serif Condensed" w:cstheme="minorHAnsi"/>
          <w:color w:val="988F86"/>
        </w:rPr>
      </w:pPr>
    </w:p>
    <w:p w:rsidR="0081365F" w:rsidRPr="003D552B" w:rsidRDefault="00F64365" w:rsidP="00F64365">
      <w:pPr>
        <w:pStyle w:val="Aucunstyledeparagraphe"/>
        <w:spacing w:line="240" w:lineRule="auto"/>
        <w:rPr>
          <w:rFonts w:ascii="Arial" w:hAnsi="Arial" w:cs="Arial"/>
          <w:caps/>
          <w:sz w:val="40"/>
          <w:szCs w:val="40"/>
          <w:lang w:eastAsia="zh-CN"/>
        </w:rPr>
      </w:pPr>
      <w:r>
        <w:rPr>
          <w:rFonts w:ascii="DIN Offc Pro Cond Medium" w:hAnsi="DIN Offc Pro Cond Medium" w:cs="DINCond-Medium"/>
          <w:caps/>
          <w:sz w:val="68"/>
          <w:szCs w:val="56"/>
        </w:rPr>
        <w:t>YVES BERTONCINI</w:t>
      </w:r>
      <w:r w:rsidR="003D552B">
        <w:rPr>
          <w:rFonts w:ascii="DIN Offc Pro Cond Medium" w:hAnsi="DIN Offc Pro Cond Medium" w:cs="DINCond-Medium"/>
          <w:caps/>
          <w:sz w:val="40"/>
          <w:szCs w:val="40"/>
        </w:rPr>
        <w:t xml:space="preserve"> </w:t>
      </w:r>
    </w:p>
    <w:p w:rsidR="000F3C99" w:rsidRPr="00690DFA" w:rsidRDefault="00F64365" w:rsidP="00F64365">
      <w:pPr>
        <w:tabs>
          <w:tab w:val="left" w:pos="9708"/>
        </w:tabs>
        <w:spacing w:after="60"/>
        <w:rPr>
          <w:rFonts w:ascii="DejaVu Serif Condensed" w:hAnsi="DejaVu Serif Condensed"/>
          <w:bCs/>
          <w:color w:val="4B81BC"/>
          <w:sz w:val="19"/>
        </w:rPr>
      </w:pPr>
      <w:r>
        <w:rPr>
          <w:rFonts w:ascii="DIN Offc Pro Cond" w:hAnsi="DIN Offc Pro Cond"/>
          <w:bCs/>
          <w:caps/>
          <w:color w:val="4B81BC"/>
          <w:sz w:val="40"/>
          <w:szCs w:val="28"/>
        </w:rPr>
        <w:t>DIRECTEUR DE NOTRE EUROPE – INSTITUT JACQUES DELORS</w:t>
      </w:r>
    </w:p>
    <w:p w:rsidR="0081365F" w:rsidRPr="00F64365" w:rsidRDefault="000F3C99" w:rsidP="0049430F">
      <w:pPr>
        <w:tabs>
          <w:tab w:val="left" w:pos="9708"/>
        </w:tabs>
        <w:spacing w:before="60" w:after="600"/>
        <w:jc w:val="both"/>
        <w:rPr>
          <w:rFonts w:ascii="DIN Offc Pro Cond Bold" w:hAnsi="DIN Offc Pro Cond Bold"/>
          <w:bCs/>
          <w:color w:val="988F86"/>
          <w:spacing w:val="20"/>
          <w:sz w:val="12"/>
        </w:rPr>
      </w:pPr>
      <w:r w:rsidRPr="00F64365">
        <w:rPr>
          <w:rFonts w:ascii="DIN Offc Pro Cond Bold" w:hAnsi="DIN Offc Pro Cond Bold"/>
          <w:bCs/>
          <w:color w:val="4B81BC"/>
          <w:spacing w:val="20"/>
          <w:sz w:val="12"/>
          <w:szCs w:val="28"/>
        </w:rPr>
        <w:t>|||||||||||||||||||||||||||||||||||||||||||||||||||||||||||||</w:t>
      </w:r>
      <w:r w:rsidR="00EB49A1" w:rsidRPr="00F64365">
        <w:rPr>
          <w:rFonts w:ascii="DIN Offc Pro Cond Bold" w:hAnsi="DIN Offc Pro Cond Bold"/>
          <w:bCs/>
          <w:color w:val="4B81BC"/>
          <w:spacing w:val="20"/>
          <w:sz w:val="12"/>
          <w:szCs w:val="28"/>
        </w:rPr>
        <w:t>|||||||||||||||||||||||||</w:t>
      </w:r>
      <w:r w:rsidRPr="00F64365">
        <w:rPr>
          <w:rFonts w:ascii="DIN Offc Pro Cond Bold" w:hAnsi="DIN Offc Pro Cond Bold"/>
          <w:bCs/>
          <w:color w:val="4B81BC"/>
          <w:spacing w:val="20"/>
          <w:sz w:val="12"/>
          <w:szCs w:val="28"/>
        </w:rPr>
        <w:t>||||||||||||||||||||</w:t>
      </w:r>
      <w:r w:rsidR="00C15359" w:rsidRPr="00F64365">
        <w:rPr>
          <w:rFonts w:ascii="DIN Offc Pro Cond Bold" w:hAnsi="DIN Offc Pro Cond Bold"/>
          <w:bCs/>
          <w:color w:val="4B81BC"/>
          <w:spacing w:val="20"/>
          <w:sz w:val="12"/>
          <w:szCs w:val="28"/>
        </w:rPr>
        <w:t>|||||||||||||||||||||||||||||</w:t>
      </w:r>
      <w:r w:rsidRPr="00F64365">
        <w:rPr>
          <w:rFonts w:ascii="DIN Offc Pro Cond Bold" w:hAnsi="DIN Offc Pro Cond Bold"/>
          <w:bCs/>
          <w:color w:val="4B81BC"/>
          <w:spacing w:val="20"/>
          <w:sz w:val="12"/>
          <w:szCs w:val="28"/>
        </w:rPr>
        <w:t>||||||||||||||||||||||||||</w:t>
      </w:r>
    </w:p>
    <w:p w:rsidR="009362A5" w:rsidRPr="00F64365" w:rsidRDefault="009362A5" w:rsidP="0081365F">
      <w:pPr>
        <w:spacing w:after="120"/>
        <w:ind w:left="176" w:right="176"/>
        <w:jc w:val="both"/>
        <w:rPr>
          <w:rFonts w:cstheme="minorHAnsi"/>
        </w:rPr>
        <w:sectPr w:rsidR="009362A5" w:rsidRPr="00F64365" w:rsidSect="002A6F9C">
          <w:type w:val="continuous"/>
          <w:pgSz w:w="11906" w:h="16838"/>
          <w:pgMar w:top="680" w:right="1134" w:bottom="680" w:left="1134" w:header="0" w:footer="0" w:gutter="0"/>
          <w:cols w:space="708"/>
        </w:sectPr>
      </w:pPr>
    </w:p>
    <w:p w:rsidR="00F64365" w:rsidRPr="00F64365" w:rsidRDefault="00F64365" w:rsidP="00F64365">
      <w:pPr>
        <w:spacing w:after="100" w:afterAutospacing="1"/>
        <w:rPr>
          <w:rFonts w:ascii="DIN Offc Pro Cond" w:eastAsia="Times New Roman" w:hAnsi="DIN Offc Pro Cond"/>
          <w:b/>
          <w:iCs/>
          <w:color w:val="548DD4" w:themeColor="text2" w:themeTint="99"/>
          <w:sz w:val="40"/>
          <w:szCs w:val="40"/>
          <w:lang w:eastAsia="fr-FR"/>
        </w:rPr>
      </w:pPr>
      <w:r w:rsidRPr="00F64365">
        <w:rPr>
          <w:rFonts w:ascii="DIN Offc Pro Cond" w:eastAsia="Times New Roman" w:hAnsi="DIN Offc Pro Cond"/>
          <w:b/>
          <w:iCs/>
          <w:color w:val="548DD4" w:themeColor="text2" w:themeTint="99"/>
          <w:sz w:val="40"/>
          <w:szCs w:val="40"/>
          <w:lang w:eastAsia="fr-FR"/>
        </w:rPr>
        <w:lastRenderedPageBreak/>
        <w:t>I – Enjeux politiques et institutionnels européens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IN Offc Pro Cond" w:eastAsia="Times New Roman" w:hAnsi="DIN Offc Pro Cond"/>
          <w:b/>
          <w:color w:val="948A54" w:themeColor="background2" w:themeShade="80"/>
          <w:sz w:val="32"/>
          <w:szCs w:val="32"/>
          <w:lang w:eastAsia="fr-FR"/>
        </w:rPr>
      </w:pPr>
      <w:r w:rsidRPr="00F64365">
        <w:rPr>
          <w:rFonts w:ascii="DIN Offc Pro Cond" w:eastAsia="Times New Roman" w:hAnsi="DIN Offc Pro Cond"/>
          <w:b/>
          <w:color w:val="948A54" w:themeColor="background2" w:themeShade="80"/>
          <w:sz w:val="32"/>
          <w:szCs w:val="32"/>
          <w:lang w:eastAsia="fr-FR"/>
        </w:rPr>
        <w:t>1 – Construction européenne</w:t>
      </w:r>
    </w:p>
    <w:p w:rsidR="00F64365" w:rsidRPr="00F64365" w:rsidRDefault="00F64365" w:rsidP="00F64365">
      <w:pPr>
        <w:spacing w:after="100" w:afterAutospacing="1"/>
        <w:jc w:val="both"/>
        <w:rPr>
          <w:rFonts w:ascii="DejaVu Serif" w:hAnsi="DejaVu Serif"/>
          <w:sz w:val="18"/>
          <w:szCs w:val="18"/>
        </w:rPr>
      </w:pPr>
      <w:r w:rsidRPr="00F64365">
        <w:rPr>
          <w:rFonts w:ascii="DejaVu Serif" w:hAnsi="DejaVu Serif"/>
          <w:i/>
          <w:sz w:val="18"/>
          <w:szCs w:val="18"/>
        </w:rPr>
        <w:t xml:space="preserve">Le prix Nobel, et après ? </w:t>
      </w:r>
      <w:r w:rsidRPr="00F64365">
        <w:rPr>
          <w:rFonts w:ascii="DejaVu Serif" w:hAnsi="DejaVu Serif"/>
          <w:sz w:val="18"/>
          <w:szCs w:val="18"/>
        </w:rPr>
        <w:t xml:space="preserve">Tribune, Notre Europe - Institut Jacques Delors, décembre 2012 (avec A Vitorino) 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F64365">
        <w:rPr>
          <w:rFonts w:ascii="DejaVu Serif" w:eastAsia="Times New Roman" w:hAnsi="DejaVu Serif"/>
          <w:i/>
          <w:sz w:val="18"/>
          <w:szCs w:val="18"/>
          <w:lang w:eastAsia="fr-FR"/>
        </w:rPr>
        <w:t>La política para la integración europea en 2011: ¿palabras negativas y hechos positivos?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 xml:space="preserve"> (L’intégration politique européenne en 2011 : entre propos négatifs et faits positifs ?), Article, CIBOB Yearbook 2012, juillet 2012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F64365">
        <w:rPr>
          <w:rFonts w:ascii="DejaVu Serif" w:eastAsia="Times New Roman" w:hAnsi="DejaVu Serif"/>
          <w:i/>
          <w:sz w:val="18"/>
          <w:szCs w:val="18"/>
          <w:lang w:eastAsia="fr-FR"/>
        </w:rPr>
        <w:t>Saut fédéral ou unions politiques?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>, Tribune, Notre Europe, juin 2012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F64365">
        <w:rPr>
          <w:rFonts w:ascii="DejaVu Serif" w:eastAsia="Times New Roman" w:hAnsi="DejaVu Serif"/>
          <w:i/>
          <w:sz w:val="18"/>
          <w:szCs w:val="18"/>
          <w:lang w:eastAsia="fr-FR"/>
        </w:rPr>
        <w:t>EU and nationalisms: tensions in the Federation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 xml:space="preserve"> (L’UE et les nationalismes : tensions dans la Fédération), Tribune, Notre Europe, juin 2012 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hyperlink r:id="rId10" w:history="1">
        <w:r w:rsidRPr="00F64365">
          <w:rPr>
            <w:rFonts w:ascii="DejaVu Serif" w:eastAsia="Times New Roman" w:hAnsi="DejaVu Serif"/>
            <w:i/>
            <w:color w:val="000000"/>
            <w:sz w:val="18"/>
            <w:szCs w:val="18"/>
            <w:lang w:eastAsia="fr-FR"/>
          </w:rPr>
          <w:t>Pour une Fédération européenne d'Etats-nations : la vision de Jacques Delors revisitée</w:t>
        </w:r>
      </w:hyperlink>
      <w:r w:rsidRPr="00F64365">
        <w:rPr>
          <w:rFonts w:ascii="DejaVu Serif" w:eastAsia="Times New Roman" w:hAnsi="DejaVu Serif"/>
          <w:sz w:val="18"/>
          <w:szCs w:val="18"/>
          <w:lang w:eastAsia="fr-FR"/>
        </w:rPr>
        <w:t xml:space="preserve">, Synthèse, Notre Europe, avril 2012 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F64365">
        <w:rPr>
          <w:rFonts w:ascii="DejaVu Serif" w:eastAsia="Times New Roman" w:hAnsi="DejaVu Serif"/>
          <w:i/>
          <w:sz w:val="18"/>
          <w:szCs w:val="18"/>
          <w:lang w:eastAsia="fr-FR"/>
        </w:rPr>
        <w:t>La solidarité au sein de l’Union européenne : fondements politiques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 xml:space="preserve">, Tribune, Notre Europe, janvier 2012 </w:t>
      </w:r>
    </w:p>
    <w:p w:rsidR="00F64365" w:rsidRPr="00F64365" w:rsidRDefault="00F64365" w:rsidP="00F64365">
      <w:pPr>
        <w:spacing w:before="90" w:after="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F64365">
        <w:rPr>
          <w:rFonts w:ascii="DejaVu Serif" w:eastAsia="Times New Roman" w:hAnsi="DejaVu Serif"/>
          <w:i/>
          <w:sz w:val="18"/>
          <w:szCs w:val="18"/>
          <w:lang w:eastAsia="fr-FR"/>
        </w:rPr>
        <w:t>Politique européenne : Etats, pouvoirs et citoyens de l’UE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>, Manuel, Sciences-Po et Dalloz, 2010 (avec T. Chopin)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b/>
          <w:sz w:val="18"/>
          <w:szCs w:val="18"/>
          <w:lang w:eastAsia="fr-FR"/>
        </w:rPr>
      </w:pPr>
      <w:r w:rsidRPr="00F64365">
        <w:rPr>
          <w:rFonts w:ascii="DejaVu Serif" w:eastAsia="Times New Roman" w:hAnsi="DejaVu Serif"/>
          <w:i/>
          <w:sz w:val="18"/>
          <w:szCs w:val="18"/>
          <w:lang w:eastAsia="fr-FR"/>
        </w:rPr>
        <w:t>Les interventions de l'UE au niveau national : quel impact ?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>, Etude, Notre Europe, 2009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F64365">
        <w:rPr>
          <w:rFonts w:ascii="DejaVu Serif" w:eastAsia="Times New Roman" w:hAnsi="DejaVu Serif"/>
          <w:i/>
          <w:sz w:val="18"/>
          <w:szCs w:val="18"/>
          <w:lang w:eastAsia="fr-FR"/>
        </w:rPr>
        <w:t>La législation nationale d'origine communautaire : briser le mythe des 80%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 xml:space="preserve">, Bref n°13, Notre Europe, juin 2009 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F64365">
        <w:rPr>
          <w:rFonts w:ascii="DejaVu Serif" w:eastAsia="Times New Roman" w:hAnsi="DejaVu Serif"/>
          <w:i/>
          <w:sz w:val="18"/>
          <w:szCs w:val="18"/>
          <w:lang w:eastAsia="fr-FR"/>
        </w:rPr>
        <w:t>UE : le bug de l'an 2006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>, Article, in L'opinion européenne en 2007, dir. D Reynié, Presse de Sciences po, mars 2007 (avec T. Chopin)</w:t>
      </w:r>
    </w:p>
    <w:p w:rsidR="00F64365" w:rsidRPr="00F64365" w:rsidRDefault="00F64365" w:rsidP="00F64365">
      <w:pPr>
        <w:spacing w:after="0" w:afterAutospacing="1"/>
        <w:jc w:val="both"/>
        <w:rPr>
          <w:rFonts w:ascii="DIN Offc Pro Cond" w:eastAsia="Times New Roman" w:hAnsi="DIN Offc Pro Cond"/>
          <w:b/>
          <w:iCs/>
          <w:color w:val="948A54" w:themeColor="background2" w:themeShade="80"/>
          <w:sz w:val="32"/>
          <w:szCs w:val="32"/>
          <w:lang w:eastAsia="fr-FR"/>
        </w:rPr>
      </w:pPr>
      <w:r w:rsidRPr="00F64365">
        <w:rPr>
          <w:rFonts w:ascii="DIN Offc Pro Cond" w:eastAsia="Times New Roman" w:hAnsi="DIN Offc Pro Cond"/>
          <w:b/>
          <w:iCs/>
          <w:color w:val="948A54" w:themeColor="background2" w:themeShade="80"/>
          <w:sz w:val="32"/>
          <w:szCs w:val="32"/>
          <w:lang w:eastAsia="fr-FR"/>
        </w:rPr>
        <w:t xml:space="preserve">2 – Traités et institutions </w:t>
      </w:r>
    </w:p>
    <w:p w:rsidR="00F64365" w:rsidRPr="00F64365" w:rsidRDefault="00F64365" w:rsidP="00F64365">
      <w:pPr>
        <w:spacing w:after="100" w:afterAutospacing="1"/>
        <w:jc w:val="both"/>
        <w:rPr>
          <w:rFonts w:ascii="DejaVu Serif" w:hAnsi="DejaVu Serif"/>
          <w:sz w:val="18"/>
          <w:szCs w:val="18"/>
        </w:rPr>
      </w:pPr>
      <w:r w:rsidRPr="00F64365">
        <w:rPr>
          <w:rFonts w:ascii="DejaVu Serif" w:hAnsi="DejaVu Serif"/>
          <w:i/>
          <w:sz w:val="18"/>
          <w:szCs w:val="18"/>
        </w:rPr>
        <w:t>Réflexions sur l’Union politique</w:t>
      </w:r>
      <w:r w:rsidRPr="00F64365">
        <w:rPr>
          <w:rFonts w:ascii="DejaVu Serif" w:hAnsi="DejaVu Serif"/>
          <w:sz w:val="18"/>
          <w:szCs w:val="18"/>
        </w:rPr>
        <w:t>, Synthèse du Comité européen d’orientation 2012, Notre Europe – Institut Jacques Delors, janvier 2013 (avec V Kreilinger)</w:t>
      </w:r>
    </w:p>
    <w:p w:rsidR="00F64365" w:rsidRPr="00F64365" w:rsidRDefault="00F64365" w:rsidP="00F64365">
      <w:pPr>
        <w:spacing w:after="100" w:afterAutospacing="1"/>
        <w:jc w:val="both"/>
        <w:rPr>
          <w:rFonts w:ascii="DejaVu Serif" w:hAnsi="DejaVu Serif"/>
          <w:sz w:val="18"/>
          <w:szCs w:val="18"/>
        </w:rPr>
      </w:pPr>
      <w:r w:rsidRPr="00F64365">
        <w:rPr>
          <w:rFonts w:ascii="DejaVu Serif" w:hAnsi="DejaVu Serif"/>
          <w:i/>
          <w:sz w:val="18"/>
          <w:szCs w:val="18"/>
        </w:rPr>
        <w:lastRenderedPageBreak/>
        <w:t>L’UE, la Catalogne et les séparatismes régionaux</w:t>
      </w:r>
      <w:r w:rsidRPr="00F64365">
        <w:rPr>
          <w:rFonts w:ascii="DejaVu Serif" w:hAnsi="DejaVu Serif"/>
          <w:sz w:val="18"/>
          <w:szCs w:val="18"/>
        </w:rPr>
        <w:t xml:space="preserve">, Tribune, Notre Europe – Institut Jacques Delors, décembre 2012 </w:t>
      </w:r>
    </w:p>
    <w:p w:rsidR="00F64365" w:rsidRPr="00F64365" w:rsidRDefault="00F64365" w:rsidP="00F64365">
      <w:pPr>
        <w:spacing w:before="90" w:after="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F64365">
        <w:rPr>
          <w:rFonts w:ascii="DejaVu Serif" w:eastAsia="Times New Roman" w:hAnsi="DejaVu Serif"/>
          <w:i/>
          <w:sz w:val="18"/>
          <w:szCs w:val="18"/>
          <w:lang w:eastAsia="fr-FR"/>
        </w:rPr>
        <w:t>Séminaire sur la méthode communautaire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 xml:space="preserve">, Synthèse, Notre Europe, juin 2012 (avec V Kreilinger)  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F64365">
        <w:rPr>
          <w:rFonts w:ascii="DejaVu Serif" w:eastAsia="Times New Roman" w:hAnsi="DejaVu Serif"/>
          <w:i/>
          <w:sz w:val="18"/>
          <w:szCs w:val="18"/>
          <w:lang w:eastAsia="fr-FR"/>
        </w:rPr>
        <w:t>Maastricht: les cinq piliers de la sagesse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>, Tribune, Notre Europe, décembre 2011 (avec A Vitorino)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F64365">
        <w:rPr>
          <w:rFonts w:ascii="DejaVu Serif" w:eastAsia="Times New Roman" w:hAnsi="DejaVu Serif"/>
          <w:i/>
          <w:sz w:val="18"/>
          <w:szCs w:val="18"/>
          <w:lang w:eastAsia="fr-FR"/>
        </w:rPr>
        <w:t>Le Traité de Lisbonne : des réponses utiles mais partielles aux défis politiques lancés à l'UE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>, Policy paper, Questions d’Europe n°87, Fondation Robert Schuman, janvier 2008 (avec T. Chopin)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The European Union's crisis (La crise de l’UE)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 xml:space="preserve">, American Foreign Policy Interests, octobre 2006 (avec T. Chopin) 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hAnsi="DejaVu Serif"/>
          <w:i/>
          <w:sz w:val="18"/>
          <w:szCs w:val="18"/>
        </w:rPr>
        <w:t>Un an après le non, quelle stratégie pour l’Union</w:t>
      </w:r>
      <w:r w:rsidRPr="00F64365">
        <w:rPr>
          <w:rFonts w:ascii="DejaVu Serif" w:hAnsi="DejaVu Serif"/>
          <w:sz w:val="18"/>
          <w:szCs w:val="18"/>
        </w:rPr>
        <w:t>, Policy paper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 xml:space="preserve">, Questions d’Europe n°30, </w:t>
      </w:r>
      <w:r w:rsidRPr="00F64365">
        <w:rPr>
          <w:rFonts w:ascii="DejaVu Serif" w:hAnsi="DejaVu Serif"/>
          <w:sz w:val="18"/>
          <w:szCs w:val="18"/>
        </w:rPr>
        <w:t xml:space="preserve">Fondation 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>Robert</w:t>
      </w:r>
      <w:r w:rsidRPr="00F64365">
        <w:rPr>
          <w:rFonts w:ascii="DejaVu Serif" w:hAnsi="DejaVu Serif"/>
          <w:sz w:val="18"/>
          <w:szCs w:val="18"/>
        </w:rPr>
        <w:t xml:space="preserve"> Schuman, mai 2006 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>(avec T. Chopin)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Constitution européenne : deux fois oui!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>, Note n°27, Fondation Robert Schuman, 2005 (avec T. Chopin)</w:t>
      </w:r>
    </w:p>
    <w:p w:rsidR="00F64365" w:rsidRPr="00F64365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hAnsi="DejaVu Serif"/>
          <w:i/>
          <w:sz w:val="18"/>
          <w:szCs w:val="18"/>
        </w:rPr>
        <w:t>Les institutions européennes dans l’impasse?</w:t>
      </w:r>
      <w:r w:rsidRPr="00F64365">
        <w:rPr>
          <w:rFonts w:ascii="DejaVu Serif" w:hAnsi="DejaVu Serif"/>
          <w:sz w:val="18"/>
          <w:szCs w:val="18"/>
        </w:rPr>
        <w:t xml:space="preserve"> </w:t>
      </w:r>
      <w:r w:rsidRPr="00F64365">
        <w:rPr>
          <w:rFonts w:ascii="DejaVu Serif" w:eastAsia="Times New Roman" w:hAnsi="DejaVu Serif"/>
          <w:sz w:val="18"/>
          <w:szCs w:val="18"/>
          <w:lang w:eastAsia="fr-FR"/>
        </w:rPr>
        <w:t xml:space="preserve">Article, </w:t>
      </w:r>
      <w:r w:rsidRPr="00F64365">
        <w:rPr>
          <w:rFonts w:ascii="DejaVu Serif" w:hAnsi="DejaVu Serif"/>
          <w:sz w:val="18"/>
          <w:szCs w:val="18"/>
        </w:rPr>
        <w:t>Futuribles, décembre 2000</w:t>
      </w:r>
    </w:p>
    <w:p w:rsidR="00F64365" w:rsidRPr="00F64365" w:rsidRDefault="00F64365" w:rsidP="00F64365">
      <w:pPr>
        <w:spacing w:after="0" w:afterAutospacing="1"/>
        <w:jc w:val="both"/>
        <w:rPr>
          <w:rFonts w:ascii="DIN Offc Pro Cond" w:eastAsia="Times New Roman" w:hAnsi="DIN Offc Pro Cond"/>
          <w:b/>
          <w:iCs/>
          <w:color w:val="948A54" w:themeColor="background2" w:themeShade="80"/>
          <w:sz w:val="32"/>
          <w:szCs w:val="32"/>
          <w:lang w:eastAsia="fr-FR"/>
        </w:rPr>
      </w:pPr>
      <w:r w:rsidRPr="00F64365">
        <w:rPr>
          <w:rFonts w:ascii="DIN Offc Pro Cond" w:eastAsia="Times New Roman" w:hAnsi="DIN Offc Pro Cond"/>
          <w:b/>
          <w:iCs/>
          <w:color w:val="948A54" w:themeColor="background2" w:themeShade="80"/>
          <w:sz w:val="32"/>
          <w:szCs w:val="32"/>
          <w:lang w:eastAsia="fr-FR"/>
        </w:rPr>
        <w:t>3 – Démocratie européenne</w:t>
      </w:r>
    </w:p>
    <w:p w:rsidR="00F64365" w:rsidRPr="00C72379" w:rsidRDefault="00C72379" w:rsidP="00F64365">
      <w:pPr>
        <w:spacing w:after="100" w:afterAutospacing="1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t>Par-delà</w:t>
      </w:r>
      <w:r w:rsidR="00F64365" w:rsidRPr="00C72379">
        <w:rPr>
          <w:rFonts w:ascii="DejaVu Serif" w:hAnsi="DejaVu Serif"/>
          <w:i/>
          <w:sz w:val="18"/>
          <w:szCs w:val="18"/>
        </w:rPr>
        <w:t xml:space="preserve"> la Troika : quels visages et clivages pour l’UE</w:t>
      </w:r>
      <w:r w:rsidR="00F64365" w:rsidRPr="00C72379">
        <w:rPr>
          <w:rFonts w:ascii="DejaVu Serif" w:hAnsi="DejaVu Serif"/>
          <w:sz w:val="18"/>
          <w:szCs w:val="18"/>
        </w:rPr>
        <w:t>, Tribune, Notre Europe – Institut Jacques Delors, juillet 2013</w:t>
      </w:r>
    </w:p>
    <w:p w:rsidR="00F64365" w:rsidRPr="00C72379" w:rsidRDefault="00F64365" w:rsidP="00F64365">
      <w:pPr>
        <w:spacing w:after="100" w:afterAutospacing="1"/>
        <w:jc w:val="both"/>
        <w:rPr>
          <w:rFonts w:ascii="DejaVu Serif" w:hAnsi="DejaVu Serif"/>
          <w:sz w:val="18"/>
          <w:szCs w:val="18"/>
        </w:rPr>
      </w:pPr>
      <w:hyperlink r:id="rId11" w:tooltip="Zone euro et démocratie(s) : un débat en trompe l'oeil" w:history="1">
        <w:r w:rsidRPr="00C72379">
          <w:rPr>
            <w:rFonts w:ascii="DejaVu Serif" w:hAnsi="DejaVu Serif"/>
            <w:i/>
            <w:sz w:val="18"/>
            <w:szCs w:val="18"/>
          </w:rPr>
          <w:t>Zone euro et démocratie(s) : un débat en trompe l'oeil</w:t>
        </w:r>
      </w:hyperlink>
      <w:r w:rsidRPr="00C72379">
        <w:rPr>
          <w:rFonts w:ascii="DejaVu Serif" w:hAnsi="DejaVu Serif"/>
          <w:sz w:val="18"/>
          <w:szCs w:val="18"/>
        </w:rPr>
        <w:t xml:space="preserve">, Policy paper, Notre Europe - Institut Jacques Delors, juillet 2013 </w:t>
      </w:r>
    </w:p>
    <w:p w:rsidR="00F64365" w:rsidRPr="00C72379" w:rsidRDefault="00F64365" w:rsidP="00F64365">
      <w:pPr>
        <w:spacing w:after="100" w:afterAutospacing="1"/>
        <w:jc w:val="both"/>
        <w:rPr>
          <w:rFonts w:ascii="DejaVu Serif" w:hAnsi="DejaVu Serif"/>
          <w:sz w:val="18"/>
          <w:szCs w:val="18"/>
        </w:rPr>
      </w:pPr>
      <w:hyperlink r:id="rId12" w:tooltip="Les parlements de l'UE et la gouvernance de l'UEM" w:history="1">
        <w:r w:rsidRPr="00C72379">
          <w:rPr>
            <w:rFonts w:ascii="DejaVu Serif" w:hAnsi="DejaVu Serif"/>
            <w:i/>
            <w:sz w:val="18"/>
            <w:szCs w:val="18"/>
          </w:rPr>
          <w:t>Les parlements de l'UE et la gouvernance de l'UEM</w:t>
        </w:r>
      </w:hyperlink>
      <w:r w:rsidRPr="00C72379">
        <w:rPr>
          <w:rFonts w:ascii="DejaVu Serif" w:hAnsi="DejaVu Serif"/>
          <w:sz w:val="18"/>
          <w:szCs w:val="18"/>
        </w:rPr>
        <w:t xml:space="preserve">, Tribune, Notre Europe - Institut Jacques Delors, avril 2013 </w:t>
      </w:r>
    </w:p>
    <w:p w:rsidR="00F64365" w:rsidRPr="00C72379" w:rsidRDefault="00F64365" w:rsidP="00F64365">
      <w:pPr>
        <w:spacing w:after="100" w:afterAutospacing="1"/>
        <w:jc w:val="both"/>
        <w:rPr>
          <w:rFonts w:ascii="DejaVu Serif" w:hAnsi="DejaVu Serif"/>
          <w:sz w:val="18"/>
          <w:szCs w:val="18"/>
        </w:rPr>
      </w:pPr>
      <w:hyperlink r:id="rId13" w:tooltip="Le système partisan européen, prêt pour « 2014 » ?" w:history="1">
        <w:r w:rsidRPr="00C72379">
          <w:rPr>
            <w:rFonts w:ascii="DejaVu Serif" w:hAnsi="DejaVu Serif"/>
            <w:i/>
            <w:sz w:val="18"/>
            <w:szCs w:val="18"/>
          </w:rPr>
          <w:t>Le système partisan européen, prêt pour « 2014 » ?</w:t>
        </w:r>
      </w:hyperlink>
      <w:r w:rsidRPr="00C72379">
        <w:rPr>
          <w:rFonts w:ascii="DejaVu Serif" w:hAnsi="DejaVu Serif"/>
          <w:sz w:val="18"/>
          <w:szCs w:val="18"/>
        </w:rPr>
        <w:t>, Synthèse, Notre Europe - Institut Jacques Delors, mars 2013 (avec V Kreilinger)</w:t>
      </w:r>
    </w:p>
    <w:p w:rsidR="00F64365" w:rsidRPr="00C72379" w:rsidRDefault="00F64365" w:rsidP="00F64365">
      <w:pPr>
        <w:spacing w:after="100" w:afterAutospacing="1"/>
        <w:jc w:val="both"/>
        <w:rPr>
          <w:rFonts w:ascii="DejaVu Serif" w:hAnsi="DejaVu Serif"/>
          <w:sz w:val="18"/>
          <w:szCs w:val="18"/>
          <w:lang w:val="en-US"/>
        </w:rPr>
      </w:pPr>
      <w:r w:rsidRPr="00C72379">
        <w:rPr>
          <w:rFonts w:ascii="DejaVu Serif" w:hAnsi="DejaVu Serif"/>
          <w:i/>
          <w:sz w:val="18"/>
          <w:szCs w:val="18"/>
          <w:lang w:val="en-US"/>
        </w:rPr>
        <w:t>The EU and Ireland : a love-hate relationship ?</w:t>
      </w:r>
      <w:r w:rsidRPr="00C72379">
        <w:rPr>
          <w:rFonts w:ascii="DejaVu Serif" w:hAnsi="DejaVu Serif"/>
          <w:sz w:val="18"/>
          <w:szCs w:val="18"/>
          <w:lang w:val="en-US"/>
        </w:rPr>
        <w:t xml:space="preserve"> Foreword to the Study “Forty years a growing – An overview of the Ireland-EU relations”, Notre Europe – Institut Jacques Delors, février 2013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hyperlink r:id="rId14" w:history="1">
        <w:r w:rsidRPr="00C72379">
          <w:rPr>
            <w:rFonts w:ascii="DejaVu Serif" w:eastAsia="Times New Roman" w:hAnsi="DejaVu Serif"/>
            <w:i/>
            <w:color w:val="000000"/>
            <w:sz w:val="18"/>
            <w:szCs w:val="18"/>
            <w:lang w:eastAsia="fr-FR"/>
          </w:rPr>
          <w:t>La démocratie européenne : cirque ou réalité ?</w:t>
        </w:r>
      </w:hyperlink>
      <w:r w:rsidRPr="00C72379">
        <w:rPr>
          <w:rFonts w:ascii="DejaVu Serif" w:eastAsia="Times New Roman" w:hAnsi="DejaVu Serif"/>
          <w:sz w:val="18"/>
          <w:szCs w:val="18"/>
          <w:lang w:eastAsia="fr-FR"/>
        </w:rPr>
        <w:t>, Synthèse, Notre Europe, avril 2012 (avec V Kreilinger)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hyperlink r:id="rId15" w:history="1">
        <w:r w:rsidRPr="00C72379">
          <w:rPr>
            <w:rFonts w:ascii="DejaVu Serif" w:eastAsia="Times New Roman" w:hAnsi="DejaVu Serif"/>
            <w:i/>
            <w:color w:val="000000"/>
            <w:sz w:val="18"/>
            <w:szCs w:val="18"/>
            <w:lang w:eastAsia="fr-FR"/>
          </w:rPr>
          <w:t>Traités européens et démocraties nationales</w:t>
        </w:r>
      </w:hyperlink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, Tribune, Notre Europe, janvier 2012 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UE, une légitimité encore en devenir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, </w:t>
      </w:r>
      <w:r w:rsidRPr="00C72379">
        <w:rPr>
          <w:rFonts w:ascii="DejaVu Serif" w:hAnsi="DejaVu Serif"/>
          <w:bCs/>
          <w:sz w:val="18"/>
          <w:szCs w:val="18"/>
        </w:rPr>
        <w:t xml:space="preserve">Tribune, Notre Europe, novembre 2011 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Elections européennes : l'heure des choix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>, Note n°45, Fondation Robert Schuman, 2009 (avec T. Chopin)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Les « élections européennes » en France : un triple choix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>, Questions d’Europe n°135, Fondation Robert Schuman, avril 2009 (avec T Chopin)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Europe : de la communication institutionnelle à l'information politique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>, Article, Horizons stratégiques, octobre 2007 (avec T. Chopin)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Union européenne : le défi de la réversibilité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, Article, Raison politique, octobre 2007 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Le référendum du 29 mai et le malaise culturel français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>, Article, Le Débat, novembre 2005 (avec T. Chopin)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Europe : le temps des fils fondateurs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, Essai, Michalon, 2005 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Le Parlement européen, un défi pour l'influence française</w:t>
      </w:r>
      <w:r w:rsidRPr="00C72379">
        <w:rPr>
          <w:rFonts w:ascii="DejaVu Serif" w:eastAsia="Times New Roman" w:hAnsi="DejaVu Serif"/>
          <w:i/>
          <w:iCs/>
          <w:sz w:val="18"/>
          <w:szCs w:val="18"/>
          <w:lang w:eastAsia="fr-FR"/>
        </w:rPr>
        <w:t>,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 Note n°21, Fondation Robert Schuman, 2004 (avec T. Chopin)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lastRenderedPageBreak/>
        <w:t>Le temps des Fils fondateurs</w:t>
      </w:r>
      <w:r w:rsidRPr="00C72379">
        <w:rPr>
          <w:rFonts w:ascii="DejaVu Serif" w:hAnsi="DejaVu Serif"/>
          <w:sz w:val="18"/>
          <w:szCs w:val="18"/>
        </w:rPr>
        <w:t xml:space="preserve">, 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Article, </w:t>
      </w:r>
      <w:r w:rsidRPr="00C72379">
        <w:rPr>
          <w:rFonts w:ascii="DejaVu Serif" w:hAnsi="DejaVu Serif"/>
          <w:sz w:val="18"/>
          <w:szCs w:val="18"/>
        </w:rPr>
        <w:t>Le Débat, janvier 2003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hAnsi="DejaVu Serif"/>
          <w:i/>
          <w:sz w:val="18"/>
          <w:szCs w:val="18"/>
        </w:rPr>
        <w:t>L’Europe face à l’Autriche</w:t>
      </w:r>
      <w:r w:rsidRPr="00C72379">
        <w:rPr>
          <w:rFonts w:ascii="DejaVu Serif" w:hAnsi="DejaVu Serif"/>
          <w:sz w:val="18"/>
          <w:szCs w:val="18"/>
        </w:rPr>
        <w:t xml:space="preserve">, 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Article, </w:t>
      </w:r>
      <w:r w:rsidRPr="00C72379">
        <w:rPr>
          <w:rFonts w:ascii="DejaVu Serif" w:hAnsi="DejaVu Serif"/>
          <w:sz w:val="18"/>
          <w:szCs w:val="18"/>
        </w:rPr>
        <w:t>Esprit, juin 2000 (avec X. Lardoux)</w:t>
      </w:r>
    </w:p>
    <w:p w:rsidR="00F64365" w:rsidRPr="00C72379" w:rsidRDefault="00F64365" w:rsidP="00F64365">
      <w:pPr>
        <w:tabs>
          <w:tab w:val="left" w:pos="1134"/>
        </w:tabs>
        <w:spacing w:line="360" w:lineRule="auto"/>
        <w:jc w:val="both"/>
        <w:rPr>
          <w:rFonts w:ascii="DIN Offc Pro Cond" w:hAnsi="DIN Offc Pro Cond"/>
          <w:b/>
          <w:color w:val="548DD4" w:themeColor="text2" w:themeTint="99"/>
          <w:sz w:val="40"/>
          <w:szCs w:val="40"/>
        </w:rPr>
      </w:pPr>
      <w:r w:rsidRPr="00C72379">
        <w:rPr>
          <w:rFonts w:ascii="DIN Offc Pro Cond" w:hAnsi="DIN Offc Pro Cond"/>
          <w:b/>
          <w:color w:val="548DD4" w:themeColor="text2" w:themeTint="99"/>
          <w:sz w:val="40"/>
          <w:szCs w:val="40"/>
        </w:rPr>
        <w:t>II - Enjeux économiques et financiers européens</w:t>
      </w:r>
    </w:p>
    <w:p w:rsidR="00F64365" w:rsidRPr="00F64365" w:rsidRDefault="00F64365" w:rsidP="00F64365">
      <w:pPr>
        <w:tabs>
          <w:tab w:val="left" w:pos="1134"/>
        </w:tabs>
        <w:spacing w:after="0" w:line="360" w:lineRule="auto"/>
        <w:jc w:val="both"/>
        <w:rPr>
          <w:rFonts w:ascii="DIN Offc Pro Cond" w:hAnsi="DIN Offc Pro Cond"/>
          <w:b/>
          <w:color w:val="948A54" w:themeColor="background2" w:themeShade="80"/>
          <w:sz w:val="32"/>
          <w:szCs w:val="32"/>
        </w:rPr>
      </w:pPr>
      <w:r w:rsidRPr="00F64365">
        <w:rPr>
          <w:rFonts w:ascii="DIN Offc Pro Cond" w:hAnsi="DIN Offc Pro Cond"/>
          <w:b/>
          <w:color w:val="948A54" w:themeColor="background2" w:themeShade="80"/>
          <w:sz w:val="32"/>
          <w:szCs w:val="32"/>
        </w:rPr>
        <w:t>1 – Euro et UEM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hAnsi="DejaVu Serif"/>
          <w:i/>
          <w:sz w:val="18"/>
          <w:szCs w:val="18"/>
        </w:rPr>
        <w:t>UE et croissance : trois pactes plutôt qu'un</w:t>
      </w:r>
      <w:r w:rsidRPr="00C72379">
        <w:rPr>
          <w:rFonts w:ascii="DejaVu Serif" w:hAnsi="DejaVu Serif"/>
          <w:sz w:val="18"/>
          <w:szCs w:val="18"/>
        </w:rPr>
        <w:t xml:space="preserve">, </w:t>
      </w:r>
      <w:r w:rsidRPr="00C72379">
        <w:rPr>
          <w:rStyle w:val="Lienhypertexte"/>
          <w:rFonts w:ascii="DejaVu Serif" w:hAnsi="DejaVu Serif"/>
          <w:color w:val="auto"/>
          <w:sz w:val="18"/>
          <w:szCs w:val="18"/>
          <w:u w:val="none"/>
        </w:rPr>
        <w:t>Tribune,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 </w:t>
      </w:r>
      <w:r w:rsidRPr="00C72379">
        <w:rPr>
          <w:rFonts w:ascii="DejaVu Serif" w:hAnsi="DejaVu Serif"/>
          <w:sz w:val="18"/>
          <w:szCs w:val="18"/>
        </w:rPr>
        <w:t xml:space="preserve">Déclaration du CA de Notre Europe – Institut Jacques Delors, avril 2013 (avec J Delors, A Vitorino et les autres membres du CA) </w:t>
      </w:r>
    </w:p>
    <w:p w:rsidR="00F64365" w:rsidRPr="00C72379" w:rsidRDefault="00F64365" w:rsidP="00F64365">
      <w:pPr>
        <w:spacing w:after="100" w:afterAutospacing="1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t>La zone euro, creuset de l’Union politique</w:t>
      </w:r>
      <w:r w:rsidRPr="00C72379">
        <w:rPr>
          <w:rFonts w:ascii="DejaVu Serif" w:hAnsi="DejaVu Serif"/>
          <w:sz w:val="18"/>
          <w:szCs w:val="18"/>
        </w:rPr>
        <w:t xml:space="preserve">, </w:t>
      </w:r>
      <w:r w:rsidRPr="00C72379">
        <w:rPr>
          <w:rStyle w:val="Lienhypertexte"/>
          <w:rFonts w:ascii="DejaVu Serif" w:hAnsi="DejaVu Serif"/>
          <w:color w:val="auto"/>
          <w:sz w:val="18"/>
          <w:szCs w:val="18"/>
          <w:u w:val="none"/>
        </w:rPr>
        <w:t>Tribune,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 </w:t>
      </w:r>
      <w:r w:rsidRPr="00C72379">
        <w:rPr>
          <w:rFonts w:ascii="DejaVu Serif" w:hAnsi="DejaVu Serif"/>
          <w:sz w:val="18"/>
          <w:szCs w:val="18"/>
        </w:rPr>
        <w:t>Déclaration du CEO de Notre Europe – Institut Jacques Delors, novembre 2012 (avec J Delors, A Vitorino et les autres membres du CEO)</w:t>
      </w:r>
    </w:p>
    <w:p w:rsidR="00F64365" w:rsidRPr="00C72379" w:rsidRDefault="00F64365" w:rsidP="00F64365">
      <w:pPr>
        <w:spacing w:before="90" w:after="100" w:afterAutospacing="1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Pacte budgétaire, souveraineté et austérité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, Tribune, Notre Europe, juillet 2012 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hAnsi="DejaVu Serif"/>
          <w:bCs/>
          <w:i/>
          <w:sz w:val="18"/>
          <w:szCs w:val="18"/>
        </w:rPr>
        <w:t>La solidarité européenne dans la crise de la zone euro : une nouvelle « Irish success story » ?</w:t>
      </w:r>
      <w:r w:rsidRPr="00C72379">
        <w:rPr>
          <w:rFonts w:ascii="DejaVu Serif" w:hAnsi="DejaVu Serif"/>
          <w:bCs/>
          <w:sz w:val="18"/>
          <w:szCs w:val="18"/>
        </w:rPr>
        <w:t xml:space="preserve">, Tribune, Notre Europe, mai 2012 </w:t>
      </w:r>
    </w:p>
    <w:p w:rsidR="00F64365" w:rsidRPr="00C72379" w:rsidRDefault="00F64365" w:rsidP="00F64365">
      <w:pPr>
        <w:spacing w:before="90" w:after="100" w:afterAutospacing="1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Stabilité et croissance : parfaire le nouveau pacte européen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, Tribune, </w:t>
      </w:r>
      <w:r w:rsidRPr="00C72379">
        <w:rPr>
          <w:rFonts w:ascii="DejaVu Serif" w:hAnsi="DejaVu Serif"/>
          <w:sz w:val="18"/>
          <w:szCs w:val="18"/>
        </w:rPr>
        <w:t xml:space="preserve">Déclaration du CA de Notre Europe, mai 2012 (avec J Delors, A Vitorino et les autres membres du CA) </w:t>
      </w:r>
    </w:p>
    <w:p w:rsidR="00F64365" w:rsidRPr="00C72379" w:rsidRDefault="00F64365" w:rsidP="00F64365">
      <w:pPr>
        <w:spacing w:before="90" w:after="100" w:afterAutospacing="1"/>
        <w:rPr>
          <w:rFonts w:ascii="DejaVu Serif" w:eastAsia="Times New Roman" w:hAnsi="DejaVu Serif"/>
          <w:sz w:val="18"/>
          <w:szCs w:val="18"/>
          <w:lang w:val="en-US"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val="en-US" w:eastAsia="fr-FR"/>
        </w:rPr>
        <w:t>The politics of the EMU governance</w:t>
      </w:r>
      <w:r w:rsidRPr="00C72379">
        <w:rPr>
          <w:rFonts w:ascii="DejaVu Serif" w:eastAsia="Times New Roman" w:hAnsi="DejaVu Serif"/>
          <w:sz w:val="18"/>
          <w:szCs w:val="18"/>
          <w:lang w:val="en-US" w:eastAsia="fr-FR"/>
        </w:rPr>
        <w:t xml:space="preserve">, European Policy Brief n°7, Egmont, février 2012 </w:t>
      </w:r>
    </w:p>
    <w:p w:rsidR="00F64365" w:rsidRPr="00C72379" w:rsidRDefault="00F64365" w:rsidP="00F64365">
      <w:pPr>
        <w:spacing w:before="90" w:after="100" w:afterAutospacing="1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hAnsi="DejaVu Serif"/>
          <w:i/>
          <w:sz w:val="18"/>
          <w:szCs w:val="18"/>
        </w:rPr>
        <w:t>La rigueur, mais aussi la croissance</w:t>
      </w:r>
      <w:r w:rsidRPr="00C72379">
        <w:rPr>
          <w:rFonts w:ascii="DejaVu Serif" w:hAnsi="DejaVu Serif"/>
          <w:sz w:val="18"/>
          <w:szCs w:val="18"/>
        </w:rPr>
        <w:t xml:space="preserve">, Tribune, Déclaration du CEO de Notre Europe, novembre 2011 (avec J Delors, A Vitorino et les autres membres du CEO) </w:t>
      </w:r>
    </w:p>
    <w:p w:rsidR="00F64365" w:rsidRPr="00C72379" w:rsidRDefault="00F64365" w:rsidP="00F64365">
      <w:pPr>
        <w:spacing w:before="90" w:after="100" w:afterAutospacing="1"/>
        <w:rPr>
          <w:rFonts w:ascii="DejaVu Serif" w:eastAsia="Times New Roman" w:hAnsi="DejaVu Serif"/>
          <w:sz w:val="18"/>
          <w:szCs w:val="18"/>
          <w:lang w:eastAsia="fr-FR"/>
        </w:rPr>
      </w:pPr>
      <w:hyperlink r:id="rId16" w:history="1">
        <w:r w:rsidRPr="00C72379">
          <w:rPr>
            <w:rFonts w:ascii="DejaVu Serif" w:eastAsia="Times New Roman" w:hAnsi="DejaVu Serif"/>
            <w:i/>
            <w:sz w:val="18"/>
            <w:szCs w:val="18"/>
            <w:lang w:eastAsia="fr-FR"/>
          </w:rPr>
          <w:t>Crise de la dette, crise de la souveraineté</w:t>
        </w:r>
      </w:hyperlink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, Tribune, Notre Europe, novembre 2011 </w:t>
      </w:r>
    </w:p>
    <w:p w:rsidR="00F64365" w:rsidRPr="00C72379" w:rsidRDefault="00F64365" w:rsidP="00F64365">
      <w:pPr>
        <w:spacing w:before="90" w:after="100" w:afterAutospacing="1"/>
        <w:rPr>
          <w:rFonts w:ascii="DejaVu Serif" w:eastAsia="Times New Roman" w:hAnsi="DejaVu Serif"/>
          <w:sz w:val="18"/>
          <w:szCs w:val="18"/>
          <w:lang w:eastAsia="fr-FR"/>
        </w:rPr>
      </w:pPr>
      <w:hyperlink r:id="rId17" w:history="1">
        <w:r w:rsidRPr="00C72379">
          <w:rPr>
            <w:rFonts w:ascii="DejaVu Serif" w:eastAsia="Times New Roman" w:hAnsi="DejaVu Serif"/>
            <w:i/>
            <w:sz w:val="18"/>
            <w:szCs w:val="18"/>
            <w:lang w:eastAsia="fr-FR"/>
          </w:rPr>
          <w:t>L’euro, les mots et les choses</w:t>
        </w:r>
      </w:hyperlink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, Tribune, Notre Europe, septembre 2011 </w:t>
      </w:r>
    </w:p>
    <w:p w:rsidR="00F64365" w:rsidRPr="00C72379" w:rsidRDefault="00F64365" w:rsidP="00F64365">
      <w:pPr>
        <w:spacing w:before="90" w:after="100" w:afterAutospacing="1"/>
        <w:rPr>
          <w:rFonts w:ascii="DejaVu Serif" w:eastAsia="Times New Roman" w:hAnsi="DejaVu Serif"/>
          <w:sz w:val="18"/>
          <w:szCs w:val="18"/>
          <w:lang w:eastAsia="fr-FR"/>
        </w:rPr>
      </w:pPr>
      <w:hyperlink r:id="rId18" w:history="1">
        <w:r w:rsidRPr="00C72379">
          <w:rPr>
            <w:rFonts w:ascii="DejaVu Serif" w:eastAsia="Times New Roman" w:hAnsi="DejaVu Serif"/>
            <w:i/>
            <w:sz w:val="18"/>
            <w:szCs w:val="18"/>
            <w:lang w:eastAsia="fr-FR"/>
          </w:rPr>
          <w:t>L'euro et les "crises"</w:t>
        </w:r>
      </w:hyperlink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,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 Tribune, Notre Europe, juillet 2011 (avec A Vitorino)</w:t>
      </w:r>
    </w:p>
    <w:p w:rsidR="00F64365" w:rsidRPr="00F64365" w:rsidRDefault="00F64365" w:rsidP="00F64365">
      <w:pPr>
        <w:tabs>
          <w:tab w:val="left" w:pos="1134"/>
        </w:tabs>
        <w:spacing w:after="0" w:line="360" w:lineRule="auto"/>
        <w:jc w:val="both"/>
        <w:rPr>
          <w:rFonts w:ascii="DIN Offc Pro Cond" w:hAnsi="DIN Offc Pro Cond"/>
          <w:b/>
          <w:color w:val="948A54" w:themeColor="background2" w:themeShade="80"/>
          <w:sz w:val="32"/>
          <w:szCs w:val="32"/>
        </w:rPr>
      </w:pPr>
      <w:r w:rsidRPr="00F64365">
        <w:rPr>
          <w:rFonts w:ascii="DIN Offc Pro Cond" w:hAnsi="DIN Offc Pro Cond"/>
          <w:b/>
          <w:color w:val="948A54" w:themeColor="background2" w:themeShade="80"/>
          <w:sz w:val="32"/>
          <w:szCs w:val="32"/>
        </w:rPr>
        <w:t>2 – Budget de l’UE</w:t>
      </w:r>
    </w:p>
    <w:p w:rsidR="00F64365" w:rsidRPr="00C72379" w:rsidRDefault="00F64365" w:rsidP="00F64365">
      <w:pPr>
        <w:spacing w:after="100" w:afterAutospacing="1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t>Budget de l'UE : y regarder à deux fois,</w:t>
      </w:r>
      <w:r w:rsidRPr="00C72379">
        <w:rPr>
          <w:rFonts w:ascii="DejaVu Serif" w:hAnsi="DejaVu Serif"/>
          <w:sz w:val="18"/>
          <w:szCs w:val="18"/>
        </w:rPr>
        <w:t xml:space="preserve"> Tribune, Notre Europe – Institut Jacques Delors, février 2013 (avec A Vitorino)</w:t>
      </w:r>
    </w:p>
    <w:p w:rsidR="00F64365" w:rsidRPr="00C72379" w:rsidRDefault="00F64365" w:rsidP="00F64365">
      <w:pPr>
        <w:spacing w:after="100" w:afterAutospacing="1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t>Réformer le budget de l'UE en période de crise</w:t>
      </w:r>
      <w:r w:rsidRPr="00C72379">
        <w:rPr>
          <w:rFonts w:ascii="DejaVu Serif" w:hAnsi="DejaVu Serif"/>
          <w:sz w:val="18"/>
          <w:szCs w:val="18"/>
        </w:rPr>
        <w:t>, Tribune, Notre Europe – Institut Jacques Delors, novembre 2012</w:t>
      </w:r>
    </w:p>
    <w:p w:rsidR="00F64365" w:rsidRPr="00C72379" w:rsidRDefault="00F64365" w:rsidP="00F64365">
      <w:pPr>
        <w:tabs>
          <w:tab w:val="left" w:pos="1134"/>
        </w:tabs>
        <w:spacing w:after="0" w:line="360" w:lineRule="auto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La solidarité budgétaire dans l’UE élargie : qui y contribue et qui en bénéficie ?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 Article, in La France et l’Allemagne face aux crises européennes, dir. C. Demesmay, A. Marchetti, octobre 2010 (avec P. Becker)</w:t>
      </w:r>
      <w:r w:rsidR="00C72379">
        <w:rPr>
          <w:rFonts w:ascii="DejaVu Serif" w:eastAsia="Times New Roman" w:hAnsi="DejaVu Serif"/>
          <w:sz w:val="18"/>
          <w:szCs w:val="18"/>
          <w:lang w:eastAsia="fr-FR"/>
        </w:rPr>
        <w:br/>
      </w:r>
    </w:p>
    <w:p w:rsidR="00F64365" w:rsidRPr="00C72379" w:rsidRDefault="00F64365" w:rsidP="00F64365">
      <w:pPr>
        <w:tabs>
          <w:tab w:val="left" w:pos="1134"/>
        </w:tabs>
        <w:spacing w:after="0" w:line="360" w:lineRule="auto"/>
        <w:jc w:val="both"/>
        <w:rPr>
          <w:rFonts w:ascii="DejaVu Serif" w:hAnsi="DejaVu Serif"/>
          <w:bCs/>
          <w:sz w:val="18"/>
          <w:szCs w:val="18"/>
        </w:rPr>
      </w:pPr>
      <w:r w:rsidRPr="00C72379">
        <w:rPr>
          <w:rFonts w:ascii="DejaVu Serif" w:hAnsi="DejaVu Serif"/>
          <w:bCs/>
          <w:i/>
          <w:sz w:val="18"/>
          <w:szCs w:val="18"/>
        </w:rPr>
        <w:t>Tableau de bord des dépenses de l’UE et de ses Etats membres,</w:t>
      </w:r>
      <w:r w:rsidRPr="00C72379">
        <w:rPr>
          <w:rFonts w:ascii="DejaVu Serif" w:hAnsi="DejaVu Serif"/>
          <w:bCs/>
          <w:sz w:val="18"/>
          <w:szCs w:val="18"/>
        </w:rPr>
        <w:t xml:space="preserve"> Centre d’analyse stratégique, octobre 2009 (avec A. Barbier-Gauchard) </w:t>
      </w:r>
      <w:r w:rsidR="00C72379">
        <w:rPr>
          <w:rFonts w:ascii="DejaVu Serif" w:hAnsi="DejaVu Serif"/>
          <w:bCs/>
          <w:sz w:val="18"/>
          <w:szCs w:val="18"/>
        </w:rPr>
        <w:br/>
      </w:r>
    </w:p>
    <w:p w:rsidR="00F64365" w:rsidRPr="00C72379" w:rsidRDefault="00F64365" w:rsidP="00F64365">
      <w:pPr>
        <w:tabs>
          <w:tab w:val="left" w:pos="1134"/>
        </w:tabs>
        <w:spacing w:after="0" w:line="360" w:lineRule="auto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t>Les dépenses européennes non communautaires : une réalité substantielle et en devenir ?</w:t>
      </w:r>
      <w:r w:rsidRPr="00C72379">
        <w:rPr>
          <w:rFonts w:ascii="DejaVu Serif" w:hAnsi="DejaVu Serif"/>
          <w:sz w:val="18"/>
          <w:szCs w:val="18"/>
        </w:rPr>
        <w:t xml:space="preserve"> Note d’analyse n°105, Centre d’analyse stratégique, juillet 2008 </w:t>
      </w:r>
      <w:r w:rsidRPr="00C72379">
        <w:rPr>
          <w:rFonts w:ascii="DejaVu Serif" w:hAnsi="DejaVu Serif"/>
          <w:bCs/>
          <w:sz w:val="18"/>
          <w:szCs w:val="18"/>
        </w:rPr>
        <w:t>(avec A. Barbier-Gauchard)</w:t>
      </w:r>
      <w:r w:rsidR="00C72379">
        <w:rPr>
          <w:rFonts w:ascii="DejaVu Serif" w:hAnsi="DejaVu Serif"/>
          <w:bCs/>
          <w:sz w:val="18"/>
          <w:szCs w:val="18"/>
        </w:rPr>
        <w:br/>
      </w:r>
    </w:p>
    <w:p w:rsidR="00F64365" w:rsidRPr="00C72379" w:rsidRDefault="00F64365" w:rsidP="00F64365">
      <w:pPr>
        <w:tabs>
          <w:tab w:val="left" w:pos="1134"/>
        </w:tabs>
        <w:spacing w:after="0" w:line="360" w:lineRule="auto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t>La révision du budget de l’UE : pour une analyse politique globale</w:t>
      </w:r>
      <w:r w:rsidRPr="00C72379">
        <w:rPr>
          <w:rFonts w:ascii="DejaVu Serif" w:hAnsi="DejaVu Serif"/>
          <w:sz w:val="18"/>
          <w:szCs w:val="18"/>
        </w:rPr>
        <w:t>,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 Article,</w:t>
      </w:r>
      <w:r w:rsidRPr="00C72379">
        <w:rPr>
          <w:rFonts w:ascii="DejaVu Serif" w:hAnsi="DejaVu Serif"/>
          <w:sz w:val="18"/>
          <w:szCs w:val="18"/>
        </w:rPr>
        <w:t xml:space="preserve"> Horizons stratégiques, juillet 2007</w:t>
      </w:r>
      <w:r w:rsidR="00C72379">
        <w:rPr>
          <w:rFonts w:ascii="DejaVu Serif" w:hAnsi="DejaVu Serif"/>
          <w:sz w:val="18"/>
          <w:szCs w:val="18"/>
        </w:rPr>
        <w:br/>
      </w:r>
    </w:p>
    <w:p w:rsidR="00F64365" w:rsidRPr="00C72379" w:rsidRDefault="00F64365" w:rsidP="00F64365">
      <w:pPr>
        <w:tabs>
          <w:tab w:val="left" w:pos="1134"/>
        </w:tabs>
        <w:spacing w:after="0" w:line="360" w:lineRule="auto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lastRenderedPageBreak/>
        <w:t>Le budget de l’UE : quelques enjeux centraux de la révision de 2008-2009</w:t>
      </w:r>
      <w:r w:rsidRPr="00C72379">
        <w:rPr>
          <w:rFonts w:ascii="DejaVu Serif" w:hAnsi="DejaVu Serif"/>
          <w:sz w:val="18"/>
          <w:szCs w:val="18"/>
        </w:rPr>
        <w:t xml:space="preserve">, 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>Document de cadrage</w:t>
      </w:r>
      <w:r w:rsidRPr="00C72379">
        <w:rPr>
          <w:rFonts w:ascii="DejaVu Serif" w:hAnsi="DejaVu Serif"/>
          <w:sz w:val="18"/>
          <w:szCs w:val="18"/>
        </w:rPr>
        <w:t>, Centre d’analyse stratégique, juillet 2007 (avec L Steinacher)</w:t>
      </w:r>
      <w:r w:rsidR="00C72379">
        <w:rPr>
          <w:rFonts w:ascii="DejaVu Serif" w:hAnsi="DejaVu Serif"/>
          <w:sz w:val="18"/>
          <w:szCs w:val="18"/>
        </w:rPr>
        <w:br/>
      </w:r>
    </w:p>
    <w:p w:rsidR="00F64365" w:rsidRPr="00C72379" w:rsidRDefault="00F64365" w:rsidP="00F64365">
      <w:pPr>
        <w:tabs>
          <w:tab w:val="left" w:pos="1134"/>
        </w:tabs>
        <w:spacing w:after="0" w:line="360" w:lineRule="auto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t>Les ressources de l’Union européenne : changement ou statu quo ?</w:t>
      </w:r>
      <w:r w:rsidRPr="00C72379">
        <w:rPr>
          <w:rFonts w:ascii="DejaVu Serif" w:hAnsi="DejaVu Serif"/>
          <w:sz w:val="18"/>
          <w:szCs w:val="18"/>
        </w:rPr>
        <w:t xml:space="preserve">, Note d’analyse n°66, Centre d’analyse stratégique, juillet 2007 </w:t>
      </w:r>
      <w:r w:rsidRPr="00C72379">
        <w:rPr>
          <w:rFonts w:ascii="DejaVu Serif" w:hAnsi="DejaVu Serif"/>
          <w:bCs/>
          <w:sz w:val="18"/>
          <w:szCs w:val="18"/>
        </w:rPr>
        <w:t>(avec A. Barbier-Gauchard)</w:t>
      </w:r>
      <w:r w:rsidR="00C72379">
        <w:rPr>
          <w:rFonts w:ascii="DejaVu Serif" w:hAnsi="DejaVu Serif"/>
          <w:bCs/>
          <w:sz w:val="18"/>
          <w:szCs w:val="18"/>
        </w:rPr>
        <w:br/>
      </w:r>
    </w:p>
    <w:p w:rsidR="00F64365" w:rsidRPr="00C72379" w:rsidRDefault="00F64365" w:rsidP="00F64365">
      <w:pPr>
        <w:tabs>
          <w:tab w:val="left" w:pos="1134"/>
        </w:tabs>
        <w:spacing w:after="0" w:line="360" w:lineRule="auto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t>Budget communautaire et juste retour : de quoi parle-t-on ?,</w:t>
      </w:r>
      <w:r w:rsidRPr="00C72379">
        <w:rPr>
          <w:rFonts w:ascii="DejaVu Serif" w:hAnsi="DejaVu Serif"/>
          <w:sz w:val="18"/>
          <w:szCs w:val="18"/>
        </w:rPr>
        <w:t xml:space="preserve"> Note d’analyse n°59, Centre d’analyse stratégique, mai 2007 </w:t>
      </w:r>
      <w:r w:rsidR="00C72379">
        <w:rPr>
          <w:rFonts w:ascii="DejaVu Serif" w:hAnsi="DejaVu Serif"/>
          <w:sz w:val="18"/>
          <w:szCs w:val="18"/>
        </w:rPr>
        <w:br/>
      </w:r>
    </w:p>
    <w:p w:rsidR="00F64365" w:rsidRPr="00C72379" w:rsidRDefault="00F64365" w:rsidP="00F64365">
      <w:pPr>
        <w:tabs>
          <w:tab w:val="left" w:pos="1134"/>
        </w:tabs>
        <w:spacing w:after="0" w:line="360" w:lineRule="auto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t>La hausse des dépenses communautaires : quelles perspectives concrètes ?</w:t>
      </w:r>
      <w:r w:rsidRPr="00C72379">
        <w:rPr>
          <w:rFonts w:ascii="DejaVu Serif" w:hAnsi="DejaVu Serif"/>
          <w:sz w:val="18"/>
          <w:szCs w:val="18"/>
        </w:rPr>
        <w:t xml:space="preserve">, Note d’analyse n°50, Centre d’analyse stratégique, mars 2007 </w:t>
      </w:r>
      <w:r w:rsidR="00C72379">
        <w:rPr>
          <w:rFonts w:ascii="DejaVu Serif" w:hAnsi="DejaVu Serif"/>
          <w:bCs/>
          <w:sz w:val="18"/>
          <w:szCs w:val="18"/>
        </w:rPr>
        <w:t>(avec A. Barbier-Gauchard)</w:t>
      </w:r>
      <w:r w:rsidR="00C72379">
        <w:rPr>
          <w:rFonts w:ascii="DejaVu Serif" w:hAnsi="DejaVu Serif"/>
          <w:bCs/>
          <w:sz w:val="18"/>
          <w:szCs w:val="18"/>
        </w:rPr>
        <w:br/>
      </w:r>
    </w:p>
    <w:p w:rsidR="00F64365" w:rsidRDefault="00F64365" w:rsidP="00F64365">
      <w:pPr>
        <w:tabs>
          <w:tab w:val="left" w:pos="1134"/>
        </w:tabs>
        <w:spacing w:after="0" w:line="360" w:lineRule="auto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t>Le budget communautaire et la stratégie de Lisbonne : crise de croissance ou crise de sens ?</w:t>
      </w:r>
      <w:r w:rsidRPr="00C72379">
        <w:rPr>
          <w:rFonts w:ascii="DejaVu Serif" w:hAnsi="DejaVu Serif"/>
          <w:sz w:val="18"/>
          <w:szCs w:val="18"/>
        </w:rPr>
        <w:t>, Note d’analyse n°29, Centre d’analyse stratégique, octobre 2006</w:t>
      </w:r>
    </w:p>
    <w:p w:rsidR="00C72379" w:rsidRPr="00C72379" w:rsidRDefault="00C72379" w:rsidP="00F64365">
      <w:pPr>
        <w:tabs>
          <w:tab w:val="left" w:pos="1134"/>
        </w:tabs>
        <w:spacing w:after="0" w:line="360" w:lineRule="auto"/>
        <w:jc w:val="both"/>
        <w:rPr>
          <w:rFonts w:ascii="DejaVu Serif" w:hAnsi="DejaVu Serif"/>
          <w:sz w:val="18"/>
          <w:szCs w:val="18"/>
        </w:rPr>
      </w:pPr>
    </w:p>
    <w:p w:rsidR="00F64365" w:rsidRPr="00C72379" w:rsidRDefault="00F64365" w:rsidP="00F64365">
      <w:pPr>
        <w:tabs>
          <w:tab w:val="left" w:pos="1134"/>
        </w:tabs>
        <w:spacing w:after="0" w:line="360" w:lineRule="auto"/>
        <w:jc w:val="both"/>
        <w:rPr>
          <w:rFonts w:ascii="DIN Offc Pro Cond" w:hAnsi="DIN Offc Pro Cond"/>
          <w:b/>
          <w:color w:val="948A54" w:themeColor="background2" w:themeShade="80"/>
          <w:sz w:val="32"/>
          <w:szCs w:val="32"/>
        </w:rPr>
      </w:pPr>
      <w:r w:rsidRPr="00C72379">
        <w:rPr>
          <w:rFonts w:ascii="DIN Offc Pro Cond" w:hAnsi="DIN Offc Pro Cond"/>
          <w:b/>
          <w:color w:val="948A54" w:themeColor="background2" w:themeShade="80"/>
          <w:sz w:val="32"/>
          <w:szCs w:val="32"/>
        </w:rPr>
        <w:t>3 – Autres enjeux économiques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hAnsi="DejaVu Serif"/>
          <w:bCs/>
          <w:i/>
          <w:sz w:val="18"/>
          <w:szCs w:val="18"/>
        </w:rPr>
        <w:t>La protection des intérêts stratégiques dans l’Union européenne : une voie étroite</w:t>
      </w:r>
      <w:r w:rsidRPr="00C72379">
        <w:rPr>
          <w:rFonts w:ascii="DejaVu Serif" w:hAnsi="DejaVu Serif"/>
          <w:bCs/>
          <w:sz w:val="18"/>
          <w:szCs w:val="18"/>
        </w:rPr>
        <w:t xml:space="preserve">, </w:t>
      </w:r>
      <w:r w:rsidRPr="00C72379">
        <w:rPr>
          <w:rFonts w:ascii="DejaVu Serif" w:hAnsi="DejaVu Serif"/>
          <w:sz w:val="18"/>
          <w:szCs w:val="18"/>
        </w:rPr>
        <w:t>Note d’analyse n°161, Centre d’analyse stratégique, décembre 2009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hAnsi="DejaVu Serif"/>
          <w:i/>
          <w:sz w:val="18"/>
          <w:szCs w:val="18"/>
        </w:rPr>
        <w:t xml:space="preserve">La Stratégie de Lisbonne : quel bilan ? </w:t>
      </w: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 xml:space="preserve">Article, </w:t>
      </w:r>
      <w:r w:rsidRPr="00C72379">
        <w:rPr>
          <w:rFonts w:ascii="DejaVu Serif" w:hAnsi="DejaVu Serif"/>
          <w:i/>
          <w:sz w:val="18"/>
          <w:szCs w:val="18"/>
        </w:rPr>
        <w:t>in L’Union européenne</w:t>
      </w:r>
      <w:r w:rsidRPr="00C72379">
        <w:rPr>
          <w:rFonts w:ascii="DejaVu Serif" w:hAnsi="DejaVu Serif"/>
          <w:sz w:val="18"/>
          <w:szCs w:val="18"/>
        </w:rPr>
        <w:t xml:space="preserve">, Les Notices, dir. J Ziller, La documentation française, mai 2008 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t xml:space="preserve">L’Europe dans la mondialisation, </w:t>
      </w: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Document de cadrage</w:t>
      </w:r>
      <w:r w:rsidRPr="00C72379">
        <w:rPr>
          <w:rFonts w:ascii="DejaVu Serif" w:hAnsi="DejaVu Serif"/>
          <w:sz w:val="18"/>
          <w:szCs w:val="18"/>
        </w:rPr>
        <w:t>, Centre d’analyse stratégique, novembre 2007 (avec M Boisson et C Gilles)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hAnsi="DejaVu Serif"/>
          <w:bCs/>
          <w:i/>
          <w:sz w:val="18"/>
          <w:szCs w:val="18"/>
        </w:rPr>
        <w:t>La préférence communautaire, un choix collectif en évolution</w:t>
      </w:r>
      <w:r w:rsidRPr="00C72379">
        <w:rPr>
          <w:rFonts w:ascii="DejaVu Serif" w:hAnsi="DejaVu Serif"/>
          <w:bCs/>
          <w:sz w:val="18"/>
          <w:szCs w:val="18"/>
        </w:rPr>
        <w:t xml:space="preserve">, </w:t>
      </w:r>
      <w:r w:rsidRPr="00C72379">
        <w:rPr>
          <w:rFonts w:ascii="DejaVu Serif" w:hAnsi="DejaVu Serif"/>
          <w:sz w:val="18"/>
          <w:szCs w:val="18"/>
        </w:rPr>
        <w:t>Note d’analyse n°75, Centre d’analyse stratégique, octobre 2007 (avec C. Mareuge)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hAnsi="DejaVu Serif"/>
          <w:bCs/>
          <w:sz w:val="18"/>
          <w:szCs w:val="18"/>
        </w:rPr>
      </w:pPr>
      <w:r w:rsidRPr="00C72379">
        <w:rPr>
          <w:rFonts w:ascii="DejaVu Serif" w:hAnsi="DejaVu Serif"/>
          <w:bCs/>
          <w:i/>
          <w:sz w:val="18"/>
          <w:szCs w:val="18"/>
        </w:rPr>
        <w:t>La stratégie de Lisbonne, une voie européenne dans la mondialisation</w:t>
      </w:r>
      <w:r w:rsidRPr="00C72379">
        <w:rPr>
          <w:rFonts w:ascii="DejaVu Serif" w:hAnsi="DejaVu Serif"/>
          <w:bCs/>
          <w:sz w:val="18"/>
          <w:szCs w:val="18"/>
        </w:rPr>
        <w:t xml:space="preserve">, Note n°41 - Fondation 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>Robert</w:t>
      </w:r>
      <w:r w:rsidRPr="00C72379">
        <w:rPr>
          <w:rFonts w:ascii="DejaVu Serif" w:hAnsi="DejaVu Serif"/>
          <w:bCs/>
          <w:sz w:val="18"/>
          <w:szCs w:val="18"/>
        </w:rPr>
        <w:t xml:space="preserve"> Schuman, 2007 (avec V. Wisnia-Weill)</w:t>
      </w:r>
      <w:r w:rsidRPr="00C72379">
        <w:rPr>
          <w:rFonts w:ascii="DejaVu Serif" w:hAnsi="DejaVu Serif"/>
          <w:bCs/>
          <w:sz w:val="18"/>
          <w:szCs w:val="18"/>
        </w:rPr>
        <w:tab/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hAnsi="DejaVu Serif"/>
          <w:bCs/>
          <w:sz w:val="18"/>
          <w:szCs w:val="18"/>
        </w:rPr>
      </w:pPr>
      <w:r w:rsidRPr="00C72379">
        <w:rPr>
          <w:rFonts w:ascii="DejaVu Serif" w:hAnsi="DejaVu Serif"/>
          <w:bCs/>
          <w:i/>
          <w:sz w:val="18"/>
          <w:szCs w:val="18"/>
        </w:rPr>
        <w:t>The European retail insurance market(s) (Le(s) marché(s) européen(s) de l’assurance de détail)</w:t>
      </w:r>
      <w:r w:rsidRPr="00C72379">
        <w:rPr>
          <w:rFonts w:ascii="DejaVu Serif" w:hAnsi="DejaVu Serif"/>
          <w:bCs/>
          <w:sz w:val="18"/>
          <w:szCs w:val="18"/>
        </w:rPr>
        <w:t>, Policy report, Comité européen des assurances, 2004</w:t>
      </w:r>
    </w:p>
    <w:p w:rsidR="00C72379" w:rsidRDefault="00C72379" w:rsidP="00F64365">
      <w:pPr>
        <w:spacing w:before="100" w:beforeAutospacing="1" w:after="100" w:afterAutospacing="1"/>
        <w:outlineLvl w:val="3"/>
        <w:rPr>
          <w:bCs/>
        </w:rPr>
      </w:pPr>
    </w:p>
    <w:p w:rsidR="00F64365" w:rsidRPr="00C72379" w:rsidRDefault="00F64365" w:rsidP="00F64365">
      <w:pPr>
        <w:spacing w:before="100" w:beforeAutospacing="1" w:after="100" w:afterAutospacing="1"/>
        <w:outlineLvl w:val="3"/>
        <w:rPr>
          <w:rFonts w:ascii="DIN Offc Pro Cond" w:eastAsia="Times New Roman" w:hAnsi="DIN Offc Pro Cond"/>
          <w:b/>
          <w:bCs/>
          <w:color w:val="548DD4" w:themeColor="text2" w:themeTint="99"/>
          <w:sz w:val="40"/>
          <w:szCs w:val="40"/>
          <w:lang w:eastAsia="fr-FR"/>
        </w:rPr>
      </w:pPr>
      <w:r w:rsidRPr="00C72379">
        <w:rPr>
          <w:rFonts w:ascii="DIN Offc Pro Cond" w:eastAsia="Times New Roman" w:hAnsi="DIN Offc Pro Cond"/>
          <w:b/>
          <w:bCs/>
          <w:color w:val="548DD4" w:themeColor="text2" w:themeTint="99"/>
          <w:sz w:val="40"/>
          <w:szCs w:val="40"/>
          <w:lang w:eastAsia="fr-FR"/>
        </w:rPr>
        <w:t>III - Autres enjeux européens et internationaux</w:t>
      </w:r>
    </w:p>
    <w:p w:rsidR="00F64365" w:rsidRPr="00C72379" w:rsidRDefault="00F64365" w:rsidP="00F64365">
      <w:pPr>
        <w:tabs>
          <w:tab w:val="left" w:pos="1134"/>
        </w:tabs>
        <w:spacing w:after="0" w:line="360" w:lineRule="auto"/>
        <w:jc w:val="both"/>
        <w:rPr>
          <w:rFonts w:ascii="DIN Offc Pro Cond" w:hAnsi="DIN Offc Pro Cond"/>
          <w:b/>
          <w:color w:val="948A54" w:themeColor="background2" w:themeShade="80"/>
          <w:sz w:val="32"/>
          <w:szCs w:val="32"/>
        </w:rPr>
      </w:pPr>
      <w:r w:rsidRPr="00C72379">
        <w:rPr>
          <w:rFonts w:ascii="DIN Offc Pro Cond" w:hAnsi="DIN Offc Pro Cond"/>
          <w:b/>
          <w:color w:val="948A54" w:themeColor="background2" w:themeShade="80"/>
          <w:sz w:val="32"/>
          <w:szCs w:val="32"/>
        </w:rPr>
        <w:t>1 – Mobilité, éducation/formation</w:t>
      </w:r>
    </w:p>
    <w:p w:rsidR="00F64365" w:rsidRPr="00C72379" w:rsidRDefault="00F64365" w:rsidP="00F64365">
      <w:pPr>
        <w:spacing w:after="100" w:afterAutospacing="1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i/>
          <w:sz w:val="18"/>
          <w:szCs w:val="18"/>
        </w:rPr>
        <w:t>Erasmus et la mobilité européenne : un investissement stratégique</w:t>
      </w:r>
      <w:r w:rsidRPr="00C72379">
        <w:rPr>
          <w:rFonts w:ascii="DejaVu Serif" w:hAnsi="DejaVu Serif"/>
          <w:sz w:val="18"/>
          <w:szCs w:val="18"/>
        </w:rPr>
        <w:t>, Tribune, Notre Europe - Institut Jacques Delors, octobre 2012</w:t>
      </w:r>
    </w:p>
    <w:p w:rsidR="00F64365" w:rsidRPr="00C72379" w:rsidRDefault="00F64365" w:rsidP="00F64365">
      <w:pPr>
        <w:spacing w:before="90" w:after="100" w:afterAutospacing="1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Visas et code Schengen : vers une coopération gagnante-gagnante entre l’UE et ses voisins?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, Synthèse, Notre Europe, juillet 2012 (avec V Kreilinger) </w:t>
      </w:r>
    </w:p>
    <w:p w:rsidR="00F64365" w:rsidRPr="00C72379" w:rsidRDefault="00F64365" w:rsidP="00F64365">
      <w:pPr>
        <w:spacing w:before="90" w:after="100" w:afterAutospacing="1"/>
        <w:rPr>
          <w:rFonts w:ascii="DejaVu Serif" w:eastAsia="Times New Roman" w:hAnsi="DejaVu Serif"/>
          <w:sz w:val="18"/>
          <w:szCs w:val="18"/>
          <w:lang w:eastAsia="fr-FR"/>
        </w:rPr>
      </w:pPr>
      <w:hyperlink r:id="rId19" w:history="1">
        <w:r w:rsidRPr="00C72379">
          <w:rPr>
            <w:rFonts w:ascii="DejaVu Serif" w:eastAsia="Times New Roman" w:hAnsi="DejaVu Serif"/>
            <w:i/>
            <w:color w:val="000000"/>
            <w:sz w:val="18"/>
            <w:szCs w:val="18"/>
            <w:lang w:eastAsia="fr-FR"/>
          </w:rPr>
          <w:t>Les migrants, « l’espace Schengen » et la solidarité européenne</w:t>
        </w:r>
      </w:hyperlink>
      <w:r w:rsidRPr="00C72379">
        <w:rPr>
          <w:rFonts w:ascii="DejaVu Serif" w:eastAsia="Times New Roman" w:hAnsi="DejaVu Serif"/>
          <w:sz w:val="18"/>
          <w:szCs w:val="18"/>
          <w:lang w:eastAsia="fr-FR"/>
        </w:rPr>
        <w:t>, Tribune, Notre Europe, juin 2011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hAnsi="DejaVu Serif"/>
          <w:sz w:val="18"/>
          <w:szCs w:val="18"/>
        </w:rPr>
      </w:pPr>
      <w:r w:rsidRPr="00C72379">
        <w:rPr>
          <w:rFonts w:ascii="DejaVu Serif" w:hAnsi="DejaVu Serif"/>
          <w:bCs/>
          <w:i/>
          <w:sz w:val="18"/>
          <w:szCs w:val="18"/>
        </w:rPr>
        <w:t>Le soutien de l’Etat à la mobilité européenne des jeunes : un rôle plus que subsidiaire</w:t>
      </w:r>
      <w:r w:rsidRPr="00C72379">
        <w:rPr>
          <w:rFonts w:ascii="DejaVu Serif" w:hAnsi="DejaVu Serif"/>
          <w:bCs/>
          <w:sz w:val="18"/>
          <w:szCs w:val="18"/>
        </w:rPr>
        <w:t xml:space="preserve">, </w:t>
      </w:r>
      <w:r w:rsidRPr="00C72379">
        <w:rPr>
          <w:rFonts w:ascii="DejaVu Serif" w:hAnsi="DejaVu Serif"/>
          <w:sz w:val="18"/>
          <w:szCs w:val="18"/>
        </w:rPr>
        <w:t>Note d’analyse n°116, Centre d’analyse stratégique, novembre 2008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C72379">
        <w:rPr>
          <w:rFonts w:ascii="DejaVu Serif" w:eastAsia="Times New Roman" w:hAnsi="DejaVu Serif"/>
          <w:i/>
          <w:sz w:val="18"/>
          <w:szCs w:val="18"/>
          <w:lang w:eastAsia="fr-FR"/>
        </w:rPr>
        <w:t>Encourager la mobilité des jeunes en Europe - Orientations stratégiques pour la France et l'UE,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 Rapport au Secrétaire d'Etat aux affaires européennes et au Ministre de l'enseignement supérieur, La  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lastRenderedPageBreak/>
        <w:t>Documentation française, 2008 (avec le concours d’Y Chassard, M Harfi, M-C Milliat, A. Barbier Gauchard,T Chopin et K Lemoine)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335453">
        <w:rPr>
          <w:rFonts w:ascii="DejaVu Serif" w:eastAsia="Times New Roman" w:hAnsi="DejaVu Serif"/>
          <w:i/>
          <w:sz w:val="18"/>
          <w:szCs w:val="18"/>
          <w:lang w:eastAsia="fr-FR"/>
        </w:rPr>
        <w:t>L’éducation et la formation dans la Stratégie de Lisbonne : des priorités aux modalités d’application,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 xml:space="preserve"> Document de cadrage, Centre d’analyse stratégique, janvier 2007 (avec B Delaveau, M Lecerf, O Passet et R du Tertre)</w:t>
      </w:r>
    </w:p>
    <w:p w:rsidR="00F64365" w:rsidRPr="00C72379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335453">
        <w:rPr>
          <w:rFonts w:ascii="DejaVu Serif" w:eastAsia="Times New Roman" w:hAnsi="DejaVu Serif"/>
          <w:i/>
          <w:sz w:val="18"/>
          <w:szCs w:val="18"/>
          <w:lang w:eastAsia="fr-FR"/>
        </w:rPr>
        <w:t>La politique européenne de formation professionnelle</w:t>
      </w:r>
      <w:r w:rsidRPr="00C72379">
        <w:rPr>
          <w:rFonts w:ascii="DejaVu Serif" w:eastAsia="Times New Roman" w:hAnsi="DejaVu Serif"/>
          <w:sz w:val="18"/>
          <w:szCs w:val="18"/>
          <w:lang w:eastAsia="fr-FR"/>
        </w:rPr>
        <w:t>, Article, revue de la CFDT, juin 1999</w:t>
      </w:r>
    </w:p>
    <w:p w:rsidR="00F64365" w:rsidRPr="00C72379" w:rsidRDefault="00F64365" w:rsidP="00F64365">
      <w:pPr>
        <w:spacing w:before="90" w:after="100" w:afterAutospacing="1"/>
        <w:rPr>
          <w:rFonts w:ascii="DIN Offc Pro Cond" w:eastAsia="Times New Roman" w:hAnsi="DIN Offc Pro Cond"/>
          <w:b/>
          <w:color w:val="948A54" w:themeColor="background2" w:themeShade="80"/>
          <w:sz w:val="32"/>
          <w:szCs w:val="32"/>
          <w:lang w:eastAsia="fr-FR"/>
        </w:rPr>
      </w:pPr>
      <w:r w:rsidRPr="00C72379">
        <w:rPr>
          <w:rFonts w:ascii="DIN Offc Pro Cond" w:eastAsia="Times New Roman" w:hAnsi="DIN Offc Pro Cond"/>
          <w:b/>
          <w:color w:val="948A54" w:themeColor="background2" w:themeShade="80"/>
          <w:sz w:val="32"/>
          <w:szCs w:val="32"/>
          <w:lang w:eastAsia="fr-FR"/>
        </w:rPr>
        <w:t>2 – Autres enjeux</w:t>
      </w:r>
    </w:p>
    <w:p w:rsidR="00F64365" w:rsidRPr="00335453" w:rsidRDefault="00F64365" w:rsidP="00F64365">
      <w:pPr>
        <w:spacing w:after="100" w:afterAutospacing="1"/>
        <w:jc w:val="both"/>
        <w:rPr>
          <w:rFonts w:ascii="DejaVu Serif" w:hAnsi="DejaVu Serif"/>
          <w:sz w:val="18"/>
          <w:szCs w:val="18"/>
        </w:rPr>
      </w:pPr>
      <w:r w:rsidRPr="00335453">
        <w:rPr>
          <w:rFonts w:ascii="DejaVu Serif" w:hAnsi="DejaVu Serif"/>
          <w:i/>
          <w:sz w:val="18"/>
          <w:szCs w:val="18"/>
        </w:rPr>
        <w:t>"L'Europe" et ses "élargissements" : stop ou encore ?,</w:t>
      </w:r>
      <w:r w:rsidRPr="00335453">
        <w:rPr>
          <w:rFonts w:ascii="DejaVu Serif" w:hAnsi="DejaVu Serif"/>
          <w:sz w:val="18"/>
          <w:szCs w:val="18"/>
        </w:rPr>
        <w:t xml:space="preserve"> Tribune, Notre Europe - Institut Jacques Delors, juin 2013 (avec S Andoura)</w:t>
      </w:r>
    </w:p>
    <w:p w:rsidR="00F64365" w:rsidRPr="00335453" w:rsidRDefault="00F64365" w:rsidP="00F64365">
      <w:pPr>
        <w:spacing w:before="90" w:after="100" w:afterAutospacing="1"/>
        <w:rPr>
          <w:rFonts w:ascii="DejaVu Serif" w:eastAsia="Times New Roman" w:hAnsi="DejaVu Serif"/>
          <w:sz w:val="18"/>
          <w:szCs w:val="18"/>
          <w:lang w:eastAsia="fr-FR"/>
        </w:rPr>
      </w:pPr>
      <w:hyperlink r:id="rId20" w:history="1">
        <w:r w:rsidRPr="00335453">
          <w:rPr>
            <w:rFonts w:ascii="DejaVu Serif" w:eastAsia="Times New Roman" w:hAnsi="DejaVu Serif"/>
            <w:i/>
            <w:sz w:val="18"/>
            <w:szCs w:val="18"/>
            <w:lang w:eastAsia="fr-FR"/>
          </w:rPr>
          <w:t>L’UE, ses voisins et ses frontières</w:t>
        </w:r>
      </w:hyperlink>
      <w:r w:rsidRPr="00335453">
        <w:rPr>
          <w:rFonts w:ascii="DejaVu Serif" w:eastAsia="Times New Roman" w:hAnsi="DejaVu Serif"/>
          <w:sz w:val="18"/>
          <w:szCs w:val="18"/>
          <w:lang w:eastAsia="fr-FR"/>
        </w:rPr>
        <w:t>, Tribune, Notre Europe, mars 2012 (avec S Andoura)</w:t>
      </w:r>
    </w:p>
    <w:p w:rsidR="00F64365" w:rsidRPr="00335453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335453">
        <w:rPr>
          <w:rFonts w:ascii="DejaVu Serif" w:eastAsia="Times New Roman" w:hAnsi="DejaVu Serif"/>
          <w:i/>
          <w:sz w:val="18"/>
          <w:szCs w:val="18"/>
          <w:lang w:eastAsia="fr-FR"/>
        </w:rPr>
        <w:t>Comité européen d’orientation de Notre Europe 2011</w:t>
      </w:r>
      <w:r w:rsidRPr="00335453">
        <w:rPr>
          <w:rFonts w:ascii="DejaVu Serif" w:eastAsia="Times New Roman" w:hAnsi="DejaVu Serif"/>
          <w:sz w:val="18"/>
          <w:szCs w:val="18"/>
          <w:lang w:eastAsia="fr-FR"/>
        </w:rPr>
        <w:t>, (Schengen, Institutions, Euro), Synthèse, décembre 2011</w:t>
      </w:r>
    </w:p>
    <w:p w:rsidR="00F64365" w:rsidRPr="00335453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335453">
        <w:rPr>
          <w:rFonts w:ascii="DejaVu Serif" w:eastAsia="Times New Roman" w:hAnsi="DejaVu Serif"/>
          <w:i/>
          <w:sz w:val="18"/>
          <w:szCs w:val="18"/>
          <w:lang w:eastAsia="fr-FR"/>
        </w:rPr>
        <w:t>L’UE et le printemps arabe: une vision pour nos voisins</w:t>
      </w:r>
      <w:r w:rsidRPr="00335453">
        <w:rPr>
          <w:rFonts w:ascii="DejaVu Serif" w:eastAsia="Times New Roman" w:hAnsi="DejaVu Serif"/>
          <w:sz w:val="18"/>
          <w:szCs w:val="18"/>
          <w:lang w:eastAsia="fr-FR"/>
        </w:rPr>
        <w:t>, Tribune, Déclaration du Conseil d’administration de Notre Europe – Institut Jacques Delors, juin 2011 (avec J Delors, A Vitorino et les autres membres du Conseil d’administration)</w:t>
      </w:r>
    </w:p>
    <w:p w:rsidR="00F64365" w:rsidRPr="00335453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335453">
        <w:rPr>
          <w:rFonts w:ascii="DejaVu Serif" w:eastAsia="Times New Roman" w:hAnsi="DejaVu Serif"/>
          <w:i/>
          <w:sz w:val="18"/>
          <w:szCs w:val="18"/>
          <w:lang w:eastAsia="fr-FR"/>
        </w:rPr>
        <w:t>Dictionnaire critique de l'Union européenne</w:t>
      </w:r>
      <w:r w:rsidRPr="00335453">
        <w:rPr>
          <w:rFonts w:ascii="DejaVu Serif" w:eastAsia="Times New Roman" w:hAnsi="DejaVu Serif"/>
          <w:sz w:val="18"/>
          <w:szCs w:val="18"/>
          <w:lang w:eastAsia="fr-FR"/>
        </w:rPr>
        <w:t>, Armand Colin, 2008 (en codirection avec T. Chopin, A. Dulphy, S. Kahn et C. Manigand),</w:t>
      </w:r>
    </w:p>
    <w:p w:rsidR="00F64365" w:rsidRPr="00335453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r w:rsidRPr="00335453">
        <w:rPr>
          <w:rFonts w:ascii="DejaVu Serif" w:eastAsia="Times New Roman" w:hAnsi="DejaVu Serif"/>
          <w:i/>
          <w:sz w:val="18"/>
          <w:szCs w:val="18"/>
          <w:lang w:eastAsia="fr-FR"/>
        </w:rPr>
        <w:t>Synthèse des 1ers Etats Généraux de l'Europe - Fiers d’être Européens</w:t>
      </w:r>
      <w:r w:rsidRPr="00335453">
        <w:rPr>
          <w:rFonts w:ascii="DejaVu Serif" w:eastAsia="Times New Roman" w:hAnsi="DejaVu Serif"/>
          <w:sz w:val="18"/>
          <w:szCs w:val="18"/>
          <w:lang w:eastAsia="fr-FR"/>
        </w:rPr>
        <w:t xml:space="preserve">, Rapport, Europanova-Notre Europe-Mouvement européen France, juillet 2007 (avec G. Ricard-Nihoul) </w:t>
      </w:r>
    </w:p>
    <w:p w:rsidR="00F64365" w:rsidRPr="00335453" w:rsidRDefault="00F64365" w:rsidP="00F64365">
      <w:pPr>
        <w:spacing w:before="90" w:after="100" w:afterAutospacing="1"/>
        <w:jc w:val="both"/>
        <w:rPr>
          <w:rFonts w:ascii="DejaVu Serif" w:eastAsia="Times New Roman" w:hAnsi="DejaVu Serif"/>
          <w:sz w:val="18"/>
          <w:szCs w:val="18"/>
          <w:lang w:eastAsia="fr-FR"/>
        </w:rPr>
      </w:pPr>
      <w:bookmarkStart w:id="0" w:name="_GoBack"/>
      <w:r w:rsidRPr="00335453">
        <w:rPr>
          <w:rFonts w:ascii="DejaVu Serif" w:hAnsi="DejaVu Serif"/>
          <w:i/>
          <w:sz w:val="18"/>
          <w:szCs w:val="18"/>
        </w:rPr>
        <w:t>Le multilatéralisme : horizon indépassable ou fausse valeur ?</w:t>
      </w:r>
      <w:r w:rsidRPr="00335453">
        <w:rPr>
          <w:rFonts w:ascii="DejaVu Serif" w:hAnsi="DejaVu Serif"/>
          <w:sz w:val="18"/>
          <w:szCs w:val="18"/>
        </w:rPr>
        <w:t xml:space="preserve"> </w:t>
      </w:r>
      <w:bookmarkEnd w:id="0"/>
      <w:r w:rsidRPr="00335453">
        <w:rPr>
          <w:rFonts w:ascii="DejaVu Serif" w:hAnsi="DejaVu Serif"/>
          <w:sz w:val="18"/>
          <w:szCs w:val="18"/>
        </w:rPr>
        <w:t xml:space="preserve">Policy paper, </w:t>
      </w:r>
      <w:r w:rsidRPr="00335453">
        <w:rPr>
          <w:rFonts w:ascii="DejaVu Serif" w:eastAsia="Times New Roman" w:hAnsi="DejaVu Serif"/>
          <w:sz w:val="18"/>
          <w:szCs w:val="18"/>
          <w:lang w:eastAsia="fr-FR"/>
        </w:rPr>
        <w:t xml:space="preserve">Questions d’Europe n°2, </w:t>
      </w:r>
      <w:r w:rsidRPr="00335453">
        <w:rPr>
          <w:rFonts w:ascii="DejaVu Serif" w:hAnsi="DejaVu Serif"/>
          <w:sz w:val="18"/>
          <w:szCs w:val="18"/>
        </w:rPr>
        <w:t xml:space="preserve">Fondation </w:t>
      </w:r>
      <w:r w:rsidRPr="00335453">
        <w:rPr>
          <w:rFonts w:ascii="DejaVu Serif" w:eastAsia="Times New Roman" w:hAnsi="DejaVu Serif"/>
          <w:sz w:val="18"/>
          <w:szCs w:val="18"/>
          <w:lang w:eastAsia="fr-FR"/>
        </w:rPr>
        <w:t>Robert</w:t>
      </w:r>
      <w:r w:rsidRPr="00335453">
        <w:rPr>
          <w:rFonts w:ascii="DejaVu Serif" w:hAnsi="DejaVu Serif"/>
          <w:sz w:val="18"/>
          <w:szCs w:val="18"/>
        </w:rPr>
        <w:t xml:space="preserve"> Schuman, septembre 2005</w:t>
      </w:r>
    </w:p>
    <w:p w:rsidR="0081365F" w:rsidRPr="00BC423F" w:rsidRDefault="00335453" w:rsidP="0052176B">
      <w:pPr>
        <w:spacing w:after="0" w:line="240" w:lineRule="atLeast"/>
        <w:ind w:right="-403"/>
        <w:rPr>
          <w:rFonts w:ascii="DIN Offc Pro Cond" w:hAnsi="DIN Offc Pro Cond"/>
          <w:noProof/>
          <w:color w:val="988F86"/>
          <w:lang w:eastAsia="fr-FR"/>
        </w:rPr>
      </w:pPr>
      <w:r>
        <w:rPr>
          <w:rFonts w:ascii="DIN Offc Pro Cond" w:hAnsi="DIN Offc Pro Cond"/>
          <w:noProof/>
          <w:color w:val="988F8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3251200</wp:posOffset>
                </wp:positionH>
                <wp:positionV relativeFrom="page">
                  <wp:posOffset>10059670</wp:posOffset>
                </wp:positionV>
                <wp:extent cx="3086100" cy="571500"/>
                <wp:effectExtent l="0" t="0" r="0" b="0"/>
                <wp:wrapTight wrapText="bothSides">
                  <wp:wrapPolygon edited="0">
                    <wp:start x="0" y="0"/>
                    <wp:lineTo x="0" y="20880"/>
                    <wp:lineTo x="21467" y="20880"/>
                    <wp:lineTo x="21467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379" w:rsidRDefault="00C72379" w:rsidP="003C62DF">
                            <w:pPr>
                              <w:spacing w:after="0" w:line="190" w:lineRule="exact"/>
                              <w:ind w:left="170"/>
                              <w:rPr>
                                <w:rFonts w:ascii="DejaVu Serif" w:hAnsi="DejaVu Serif"/>
                                <w:color w:val="FFFFFF" w:themeColor="background1"/>
                                <w:sz w:val="15"/>
                              </w:rPr>
                            </w:pPr>
                            <w:r>
                              <w:rPr>
                                <w:rFonts w:ascii="DejaVu Serif" w:hAnsi="DejaVu Serif"/>
                                <w:color w:val="FFFFFF" w:themeColor="background1"/>
                                <w:sz w:val="15"/>
                              </w:rPr>
                              <w:t xml:space="preserve">  Notre Europe – Institut Jacques Delors </w:t>
                            </w:r>
                          </w:p>
                          <w:p w:rsidR="00C72379" w:rsidRDefault="00C72379" w:rsidP="003C62DF">
                            <w:pPr>
                              <w:spacing w:after="0" w:line="190" w:lineRule="exact"/>
                              <w:ind w:left="170"/>
                              <w:rPr>
                                <w:rFonts w:ascii="DejaVu Serif" w:hAnsi="DejaVu Serif"/>
                                <w:color w:val="FFFFFF" w:themeColor="background1"/>
                                <w:sz w:val="15"/>
                              </w:rPr>
                            </w:pPr>
                            <w:r w:rsidRPr="00076D5A">
                              <w:rPr>
                                <w:rFonts w:ascii="DejaVu Serif" w:hAnsi="DejaVu Serif"/>
                                <w:color w:val="FFFFFF" w:themeColor="background1"/>
                                <w:sz w:val="15"/>
                              </w:rPr>
                              <w:t>19 rue de Milan 75009 Paris – France</w:t>
                            </w:r>
                          </w:p>
                          <w:p w:rsidR="00C72379" w:rsidRPr="00076D5A" w:rsidRDefault="00C72379" w:rsidP="003C62DF">
                            <w:pPr>
                              <w:spacing w:after="0" w:line="190" w:lineRule="exact"/>
                              <w:ind w:left="85"/>
                              <w:rPr>
                                <w:rFonts w:ascii="DejaVu Serif" w:hAnsi="DejaVu Serif"/>
                                <w:color w:val="FFFFFF" w:themeColor="background1"/>
                                <w:sz w:val="15"/>
                              </w:rPr>
                            </w:pPr>
                            <w:r>
                              <w:rPr>
                                <w:rFonts w:ascii="DejaVu Serif" w:hAnsi="DejaVu Serif"/>
                                <w:color w:val="FFFFFF" w:themeColor="background1"/>
                                <w:sz w:val="15"/>
                              </w:rPr>
                              <w:t>T +33 (0)1 44 58 97 97 – F +33 (0)1 44 58 97 99</w:t>
                            </w:r>
                          </w:p>
                          <w:p w:rsidR="00C72379" w:rsidRPr="00076D5A" w:rsidRDefault="00C72379" w:rsidP="00076D5A">
                            <w:pPr>
                              <w:spacing w:after="0" w:line="190" w:lineRule="exact"/>
                              <w:rPr>
                                <w:rFonts w:ascii="DejaVu Serif" w:hAnsi="DejaVu Serif"/>
                                <w:color w:val="FFFFFF" w:themeColor="background1"/>
                                <w:sz w:val="15"/>
                              </w:rPr>
                            </w:pPr>
                            <w:r>
                              <w:rPr>
                                <w:rFonts w:ascii="DejaVu Serif" w:hAnsi="DejaVu Serif"/>
                                <w:color w:val="FFFFFF" w:themeColor="background1"/>
                                <w:sz w:val="15"/>
                              </w:rPr>
                              <w:t>www.notre</w:t>
                            </w:r>
                            <w:r w:rsidRPr="00076D5A">
                              <w:rPr>
                                <w:rFonts w:ascii="DejaVu Serif" w:hAnsi="DejaVu Serif"/>
                                <w:color w:val="FFFFFF" w:themeColor="background1"/>
                                <w:sz w:val="15"/>
                              </w:rPr>
                              <w:t>-europe.eu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56pt;margin-top:792.1pt;width:24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Pp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" filled="f" stroked="f">
                <v:textbox inset="0,0,0,0">
                  <w:txbxContent>
                    <w:p w:rsidR="00C72379" w:rsidRDefault="00C72379" w:rsidP="003C62DF">
                      <w:pPr>
                        <w:spacing w:after="0" w:line="190" w:lineRule="exact"/>
                        <w:ind w:left="170"/>
                        <w:rPr>
                          <w:rFonts w:ascii="DejaVu Serif" w:hAnsi="DejaVu Serif"/>
                          <w:color w:val="FFFFFF" w:themeColor="background1"/>
                          <w:sz w:val="15"/>
                        </w:rPr>
                      </w:pPr>
                      <w:r>
                        <w:rPr>
                          <w:rFonts w:ascii="DejaVu Serif" w:hAnsi="DejaVu Serif"/>
                          <w:color w:val="FFFFFF" w:themeColor="background1"/>
                          <w:sz w:val="15"/>
                        </w:rPr>
                        <w:t xml:space="preserve">  Notre Europe – Institut Jacques Delors </w:t>
                      </w:r>
                    </w:p>
                    <w:p w:rsidR="00C72379" w:rsidRDefault="00C72379" w:rsidP="003C62DF">
                      <w:pPr>
                        <w:spacing w:after="0" w:line="190" w:lineRule="exact"/>
                        <w:ind w:left="170"/>
                        <w:rPr>
                          <w:rFonts w:ascii="DejaVu Serif" w:hAnsi="DejaVu Serif"/>
                          <w:color w:val="FFFFFF" w:themeColor="background1"/>
                          <w:sz w:val="15"/>
                        </w:rPr>
                      </w:pPr>
                      <w:r w:rsidRPr="00076D5A">
                        <w:rPr>
                          <w:rFonts w:ascii="DejaVu Serif" w:hAnsi="DejaVu Serif"/>
                          <w:color w:val="FFFFFF" w:themeColor="background1"/>
                          <w:sz w:val="15"/>
                        </w:rPr>
                        <w:t>19 rue de Milan 75009 Paris – France</w:t>
                      </w:r>
                    </w:p>
                    <w:p w:rsidR="00C72379" w:rsidRPr="00076D5A" w:rsidRDefault="00C72379" w:rsidP="003C62DF">
                      <w:pPr>
                        <w:spacing w:after="0" w:line="190" w:lineRule="exact"/>
                        <w:ind w:left="85"/>
                        <w:rPr>
                          <w:rFonts w:ascii="DejaVu Serif" w:hAnsi="DejaVu Serif"/>
                          <w:color w:val="FFFFFF" w:themeColor="background1"/>
                          <w:sz w:val="15"/>
                        </w:rPr>
                      </w:pPr>
                      <w:r>
                        <w:rPr>
                          <w:rFonts w:ascii="DejaVu Serif" w:hAnsi="DejaVu Serif"/>
                          <w:color w:val="FFFFFF" w:themeColor="background1"/>
                          <w:sz w:val="15"/>
                        </w:rPr>
                        <w:t>T +33 (0)1 44 58 97 97 – F +33 (0)1 44 58 97 99</w:t>
                      </w:r>
                    </w:p>
                    <w:p w:rsidR="00C72379" w:rsidRPr="00076D5A" w:rsidRDefault="00C72379" w:rsidP="00076D5A">
                      <w:pPr>
                        <w:spacing w:after="0" w:line="190" w:lineRule="exact"/>
                        <w:rPr>
                          <w:rFonts w:ascii="DejaVu Serif" w:hAnsi="DejaVu Serif"/>
                          <w:color w:val="FFFFFF" w:themeColor="background1"/>
                          <w:sz w:val="15"/>
                        </w:rPr>
                      </w:pPr>
                      <w:r>
                        <w:rPr>
                          <w:rFonts w:ascii="DejaVu Serif" w:hAnsi="DejaVu Serif"/>
                          <w:color w:val="FFFFFF" w:themeColor="background1"/>
                          <w:sz w:val="15"/>
                        </w:rPr>
                        <w:t>www.notre</w:t>
                      </w:r>
                      <w:r w:rsidRPr="00076D5A">
                        <w:rPr>
                          <w:rFonts w:ascii="DejaVu Serif" w:hAnsi="DejaVu Serif"/>
                          <w:color w:val="FFFFFF" w:themeColor="background1"/>
                          <w:sz w:val="15"/>
                        </w:rPr>
                        <w:t>-europe.eu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76D5A" w:rsidRPr="00076D5A">
        <w:rPr>
          <w:rFonts w:ascii="DIN Offc Pro Cond" w:hAnsi="DIN Offc Pro Cond"/>
          <w:noProof/>
          <w:color w:val="988F8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25400</wp:posOffset>
            </wp:positionH>
            <wp:positionV relativeFrom="page">
              <wp:posOffset>9901555</wp:posOffset>
            </wp:positionV>
            <wp:extent cx="6842760" cy="853440"/>
            <wp:effectExtent l="25400" t="0" r="0" b="0"/>
            <wp:wrapNone/>
            <wp:docPr id="12" name="Image 12" descr="Band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oba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715">
        <w:rPr>
          <w:rFonts w:ascii="DIN Offc Pro Cond" w:hAnsi="DIN Offc Pro Cond"/>
          <w:noProof/>
          <w:color w:val="988F86"/>
          <w:lang w:eastAsia="fr-FR"/>
        </w:rPr>
        <w:t xml:space="preserve"> </w:t>
      </w:r>
    </w:p>
    <w:sectPr w:rsidR="0081365F" w:rsidRPr="00BC423F" w:rsidSect="00C72379">
      <w:type w:val="continuous"/>
      <w:pgSz w:w="11906" w:h="16838"/>
      <w:pgMar w:top="-993" w:right="1276" w:bottom="1134" w:left="1134" w:header="113" w:footer="0" w:gutter="0"/>
      <w:cols w:space="708"/>
      <w:vAlign w:val="bottom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79" w:rsidRDefault="00C72379" w:rsidP="00690DFA">
      <w:pPr>
        <w:spacing w:after="0"/>
      </w:pPr>
      <w:r>
        <w:separator/>
      </w:r>
    </w:p>
  </w:endnote>
  <w:endnote w:type="continuationSeparator" w:id="0">
    <w:p w:rsidR="00C72379" w:rsidRDefault="00C72379" w:rsidP="00690D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CorrTurk">
    <w:altName w:val="Times New Roman"/>
    <w:charset w:val="A2"/>
    <w:family w:val="auto"/>
    <w:pitch w:val="variable"/>
    <w:sig w:usb0="00000005" w:usb1="00000000" w:usb2="00000000" w:usb3="00000000" w:csb0="0000001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 Condensed">
    <w:panose1 w:val="02060606050605020204"/>
    <w:charset w:val="00"/>
    <w:family w:val="roman"/>
    <w:pitch w:val="variable"/>
    <w:sig w:usb0="E40002FF" w:usb1="5200F9FB" w:usb2="0A040020" w:usb3="00000000" w:csb0="0000009F" w:csb1="00000000"/>
  </w:font>
  <w:font w:name="DIN Offc Pro Cond Medium">
    <w:panose1 w:val="020B0606020101010102"/>
    <w:charset w:val="00"/>
    <w:family w:val="swiss"/>
    <w:pitch w:val="variable"/>
    <w:sig w:usb0="A00002BF" w:usb1="4000207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Cond-Medium">
    <w:charset w:val="00"/>
    <w:family w:val="auto"/>
    <w:pitch w:val="variable"/>
    <w:sig w:usb0="00000003" w:usb1="00000000" w:usb2="00000000" w:usb3="00000000" w:csb0="00000001" w:csb1="00000000"/>
  </w:font>
  <w:font w:name="DIN Offc Pro Cond">
    <w:panose1 w:val="020B0506020101010102"/>
    <w:charset w:val="00"/>
    <w:family w:val="swiss"/>
    <w:pitch w:val="variable"/>
    <w:sig w:usb0="A00002BF" w:usb1="4000207B" w:usb2="00000000" w:usb3="00000000" w:csb0="00000097" w:csb1="00000000"/>
  </w:font>
  <w:font w:name="DIN Offc Pro Cond Bold">
    <w:altName w:val="Impact"/>
    <w:panose1 w:val="020B0806020101010102"/>
    <w:charset w:val="00"/>
    <w:family w:val="auto"/>
    <w:pitch w:val="variable"/>
    <w:sig w:usb0="00000003" w:usb1="00000000" w:usb2="00000000" w:usb3="00000000" w:csb0="00000001" w:csb1="00000000"/>
  </w:font>
  <w:font w:name="DejaVu Serif">
    <w:panose1 w:val="02060603050605020204"/>
    <w:charset w:val="00"/>
    <w:family w:val="roman"/>
    <w:pitch w:val="variable"/>
    <w:sig w:usb0="E40002FF" w:usb1="5200F9FB" w:usb2="0A04002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79" w:rsidRDefault="00C72379" w:rsidP="00690DFA">
      <w:pPr>
        <w:spacing w:after="0"/>
      </w:pPr>
      <w:r>
        <w:separator/>
      </w:r>
    </w:p>
  </w:footnote>
  <w:footnote w:type="continuationSeparator" w:id="0">
    <w:p w:rsidR="00C72379" w:rsidRDefault="00C72379" w:rsidP="00690D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6EEFD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0D910E5"/>
    <w:multiLevelType w:val="hybridMultilevel"/>
    <w:tmpl w:val="6BE46F60"/>
    <w:lvl w:ilvl="0" w:tplc="53B266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A4"/>
    <w:rsid w:val="00076D5A"/>
    <w:rsid w:val="000860F1"/>
    <w:rsid w:val="000A638E"/>
    <w:rsid w:val="000C2C70"/>
    <w:rsid w:val="000F3C99"/>
    <w:rsid w:val="00100F96"/>
    <w:rsid w:val="0011334E"/>
    <w:rsid w:val="001164B7"/>
    <w:rsid w:val="00162613"/>
    <w:rsid w:val="0019628D"/>
    <w:rsid w:val="001F13A4"/>
    <w:rsid w:val="002067E1"/>
    <w:rsid w:val="00224880"/>
    <w:rsid w:val="0024184F"/>
    <w:rsid w:val="0027556C"/>
    <w:rsid w:val="002A6F9C"/>
    <w:rsid w:val="002C0DFB"/>
    <w:rsid w:val="00310426"/>
    <w:rsid w:val="00335453"/>
    <w:rsid w:val="00361FC8"/>
    <w:rsid w:val="003C62DF"/>
    <w:rsid w:val="003D552B"/>
    <w:rsid w:val="004522D8"/>
    <w:rsid w:val="00487D12"/>
    <w:rsid w:val="0049430F"/>
    <w:rsid w:val="004A520C"/>
    <w:rsid w:val="004F35E8"/>
    <w:rsid w:val="00505254"/>
    <w:rsid w:val="0052176B"/>
    <w:rsid w:val="00537222"/>
    <w:rsid w:val="00540233"/>
    <w:rsid w:val="0057319F"/>
    <w:rsid w:val="006625F0"/>
    <w:rsid w:val="00686E3F"/>
    <w:rsid w:val="00690DFA"/>
    <w:rsid w:val="006A28FD"/>
    <w:rsid w:val="007A2EF8"/>
    <w:rsid w:val="007D7BBA"/>
    <w:rsid w:val="0081365F"/>
    <w:rsid w:val="008432F9"/>
    <w:rsid w:val="00856C74"/>
    <w:rsid w:val="00883C2C"/>
    <w:rsid w:val="009362A5"/>
    <w:rsid w:val="00A12832"/>
    <w:rsid w:val="00A90CA2"/>
    <w:rsid w:val="00A9719B"/>
    <w:rsid w:val="00AB6715"/>
    <w:rsid w:val="00BA7A95"/>
    <w:rsid w:val="00BC423F"/>
    <w:rsid w:val="00BC4878"/>
    <w:rsid w:val="00C15359"/>
    <w:rsid w:val="00C16903"/>
    <w:rsid w:val="00C32E95"/>
    <w:rsid w:val="00C36DC7"/>
    <w:rsid w:val="00C72379"/>
    <w:rsid w:val="00D333A4"/>
    <w:rsid w:val="00DA1FE2"/>
    <w:rsid w:val="00DA7AAC"/>
    <w:rsid w:val="00DF2417"/>
    <w:rsid w:val="00E20594"/>
    <w:rsid w:val="00EB49A1"/>
    <w:rsid w:val="00F26BC1"/>
    <w:rsid w:val="00F64365"/>
    <w:rsid w:val="00F7608E"/>
    <w:rsid w:val="00FF79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er" w:uiPriority="99"/>
    <w:lsdException w:name="List Paragraph" w:uiPriority="34" w:qFormat="1"/>
  </w:latentStyles>
  <w:style w:type="paragraph" w:default="1" w:styleId="Normal">
    <w:name w:val="Normal"/>
    <w:qFormat/>
    <w:rsid w:val="00DD2F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rsid w:val="00D333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Lienhypertexte">
    <w:name w:val="Hyperlink"/>
    <w:basedOn w:val="Policepardfaut"/>
    <w:rsid w:val="0081365F"/>
    <w:rPr>
      <w:color w:val="0000FF"/>
      <w:u w:val="single"/>
    </w:rPr>
  </w:style>
  <w:style w:type="paragraph" w:customStyle="1" w:styleId="Default">
    <w:name w:val="Default"/>
    <w:rsid w:val="0081365F"/>
    <w:pPr>
      <w:autoSpaceDE w:val="0"/>
      <w:autoSpaceDN w:val="0"/>
      <w:adjustRightInd w:val="0"/>
      <w:spacing w:after="0"/>
    </w:pPr>
    <w:rPr>
      <w:rFonts w:ascii="MetaCorrTurk" w:eastAsia="Times New Roman" w:hAnsi="MetaCorrTurk" w:cs="MetaCorrTurk"/>
      <w:color w:val="000000"/>
      <w:lang w:eastAsia="en-GB"/>
    </w:rPr>
  </w:style>
  <w:style w:type="paragraph" w:customStyle="1" w:styleId="Pa6">
    <w:name w:val="Pa6"/>
    <w:basedOn w:val="Default"/>
    <w:next w:val="Default"/>
    <w:uiPriority w:val="99"/>
    <w:rsid w:val="0081365F"/>
    <w:pPr>
      <w:spacing w:line="171" w:lineRule="atLeast"/>
    </w:pPr>
    <w:rPr>
      <w:rFonts w:cs="Times New Roman"/>
      <w:color w:val="auto"/>
    </w:rPr>
  </w:style>
  <w:style w:type="paragraph" w:styleId="Listepuces">
    <w:name w:val="List Bullet"/>
    <w:basedOn w:val="Normal"/>
    <w:rsid w:val="000F3C99"/>
    <w:pPr>
      <w:numPr>
        <w:numId w:val="1"/>
      </w:numPr>
      <w:contextualSpacing/>
    </w:pPr>
  </w:style>
  <w:style w:type="character" w:styleId="Lienhypertextesuivivisit">
    <w:name w:val="FollowedHyperlink"/>
    <w:basedOn w:val="Policepardfaut"/>
    <w:rsid w:val="0016261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rsid w:val="0016261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62613"/>
  </w:style>
  <w:style w:type="paragraph" w:styleId="Pieddepage">
    <w:name w:val="footer"/>
    <w:basedOn w:val="Normal"/>
    <w:link w:val="PieddepageCar"/>
    <w:rsid w:val="0016261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162613"/>
  </w:style>
  <w:style w:type="table" w:customStyle="1" w:styleId="Trameclaire-Accent11">
    <w:name w:val="Trame claire - Accent 11"/>
    <w:basedOn w:val="TableauNormal"/>
    <w:uiPriority w:val="60"/>
    <w:rsid w:val="00162613"/>
    <w:pPr>
      <w:spacing w:after="0"/>
    </w:pPr>
    <w:rPr>
      <w:rFonts w:eastAsiaTheme="minorEastAsia"/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rsid w:val="00A128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1283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0594"/>
    <w:pPr>
      <w:spacing w:after="0"/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er" w:uiPriority="99"/>
    <w:lsdException w:name="List Paragraph" w:uiPriority="34" w:qFormat="1"/>
  </w:latentStyles>
  <w:style w:type="paragraph" w:default="1" w:styleId="Normal">
    <w:name w:val="Normal"/>
    <w:qFormat/>
    <w:rsid w:val="00DD2F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rsid w:val="00D333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Lienhypertexte">
    <w:name w:val="Hyperlink"/>
    <w:basedOn w:val="Policepardfaut"/>
    <w:rsid w:val="0081365F"/>
    <w:rPr>
      <w:color w:val="0000FF"/>
      <w:u w:val="single"/>
    </w:rPr>
  </w:style>
  <w:style w:type="paragraph" w:customStyle="1" w:styleId="Default">
    <w:name w:val="Default"/>
    <w:rsid w:val="0081365F"/>
    <w:pPr>
      <w:autoSpaceDE w:val="0"/>
      <w:autoSpaceDN w:val="0"/>
      <w:adjustRightInd w:val="0"/>
      <w:spacing w:after="0"/>
    </w:pPr>
    <w:rPr>
      <w:rFonts w:ascii="MetaCorrTurk" w:eastAsia="Times New Roman" w:hAnsi="MetaCorrTurk" w:cs="MetaCorrTurk"/>
      <w:color w:val="000000"/>
      <w:lang w:eastAsia="en-GB"/>
    </w:rPr>
  </w:style>
  <w:style w:type="paragraph" w:customStyle="1" w:styleId="Pa6">
    <w:name w:val="Pa6"/>
    <w:basedOn w:val="Default"/>
    <w:next w:val="Default"/>
    <w:uiPriority w:val="99"/>
    <w:rsid w:val="0081365F"/>
    <w:pPr>
      <w:spacing w:line="171" w:lineRule="atLeast"/>
    </w:pPr>
    <w:rPr>
      <w:rFonts w:cs="Times New Roman"/>
      <w:color w:val="auto"/>
    </w:rPr>
  </w:style>
  <w:style w:type="paragraph" w:styleId="Listepuces">
    <w:name w:val="List Bullet"/>
    <w:basedOn w:val="Normal"/>
    <w:rsid w:val="000F3C99"/>
    <w:pPr>
      <w:numPr>
        <w:numId w:val="1"/>
      </w:numPr>
      <w:contextualSpacing/>
    </w:pPr>
  </w:style>
  <w:style w:type="character" w:styleId="Lienhypertextesuivivisit">
    <w:name w:val="FollowedHyperlink"/>
    <w:basedOn w:val="Policepardfaut"/>
    <w:rsid w:val="0016261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rsid w:val="0016261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62613"/>
  </w:style>
  <w:style w:type="paragraph" w:styleId="Pieddepage">
    <w:name w:val="footer"/>
    <w:basedOn w:val="Normal"/>
    <w:link w:val="PieddepageCar"/>
    <w:rsid w:val="0016261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162613"/>
  </w:style>
  <w:style w:type="table" w:customStyle="1" w:styleId="Trameclaire-Accent11">
    <w:name w:val="Trame claire - Accent 11"/>
    <w:basedOn w:val="TableauNormal"/>
    <w:uiPriority w:val="60"/>
    <w:rsid w:val="00162613"/>
    <w:pPr>
      <w:spacing w:after="0"/>
    </w:pPr>
    <w:rPr>
      <w:rFonts w:eastAsiaTheme="minorEastAsia"/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rsid w:val="00A128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1283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0594"/>
    <w:pPr>
      <w:spacing w:after="0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otreeurope.elteg.info/011-15413-Le-systeme-partisan-europeen-pret-pour-2014.html" TargetMode="External"/><Relationship Id="rId18" Type="http://schemas.openxmlformats.org/officeDocument/2006/relationships/hyperlink" Target="http://www.notre-europe.eu/fr/axes/competition-cooperation-solidarite/travaux/publication/leuro-et-les-crises-1/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hyperlink" Target="http://notreeurope.elteg.info/011-15839-Les-parlements-de-l-UE-et-la-gouvernance-de-l-UEM.html" TargetMode="External"/><Relationship Id="rId17" Type="http://schemas.openxmlformats.org/officeDocument/2006/relationships/hyperlink" Target="http://www.notre-europe.eu/fr/axes/competition-cooperation-solidarite/travaux/publication/leuro-les-mots-et-les-choses-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otre-europe.eu/fr/axes/competition-cooperation-solidarite/travaux/publication/crise-de-la-dette-crise-de-la-souverainete-1/" TargetMode="External"/><Relationship Id="rId20" Type="http://schemas.openxmlformats.org/officeDocument/2006/relationships/hyperlink" Target="http://www.notre-europe.eu/fr/axes/europe-et-gouvernance-mondiale/travaux/publication/lue-ses-voisins-et-ses-frontieres-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otreeurope.elteg.info/011-16387-Zone-euro-et-democratie-s-un-debat-en-trompe-l-oeil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otre-europe.eu/fr/axes/visions-deurope/travaux/publication/traites-europeens-et-democraties-nationales-1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otre-europe.eu/fr/axes/visions-deurope/travaux/publication/pour-une-federation-europeenne-detats-nations-la-vision-de-jacques-delors-revisitee/" TargetMode="External"/><Relationship Id="rId19" Type="http://schemas.openxmlformats.org/officeDocument/2006/relationships/hyperlink" Target="http://www.notre-europe.eu/fr/axes/democratie-en-action/travaux/publication/les-migrants-lespace-schengen-et-la-solidarite-europeenne-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otre-europe.eu/fr/axes/democratie-en-action/travaux/publication/la-democratie-europeenne-cirque-ou-realit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FB0F0-2319-40AB-82EA-B94B4FA6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1885</Words>
  <Characters>10373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Zorg Ltd</Company>
  <LinksUpToDate>false</LinksUpToDate>
  <CharactersWithSpaces>12234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Phil2fer Zorg</dc:creator>
  <cp:lastModifiedBy>Nicolo Conti</cp:lastModifiedBy>
  <cp:revision>2</cp:revision>
  <cp:lastPrinted>2012-09-25T09:42:00Z</cp:lastPrinted>
  <dcterms:created xsi:type="dcterms:W3CDTF">2013-07-23T10:40:00Z</dcterms:created>
  <dcterms:modified xsi:type="dcterms:W3CDTF">2013-07-23T10:40:00Z</dcterms:modified>
</cp:coreProperties>
</file>